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杭银理财幸福99金钱包21号理财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2024</w:t>
      </w:r>
      <w:r>
        <w:rPr>
          <w:rFonts w:ascii="仿宋_GB2312" w:eastAsia="仿宋_GB2312" w:hAnsi="仿宋_GB2312" w:cs="仿宋_GB2312"/>
          <w:b/>
          <w:sz w:val="44"/>
        </w:rPr>
        <w:t>年第</w:t>
      </w:r>
      <w:r>
        <w:rPr>
          <w:rFonts w:ascii="仿宋_GB2312" w:eastAsia="仿宋_GB2312" w:hAnsi="仿宋_GB2312" w:cs="仿宋_GB2312"/>
          <w:b/>
          <w:sz w:val="44"/>
        </w:rPr>
        <w:t>4</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2025年1月15日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2024年12月31日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2024年10月1日</w:t>
            </w:r>
            <w:r>
              <w:rPr>
                <w:rFonts w:ascii="仿宋" w:eastAsia="仿宋" w:hAnsi="仿宋" w:hint="eastAsia"/>
                <w:color w:val="404040"/>
                <w:kern w:val="0"/>
                <w:sz w:val="24"/>
              </w:rPr>
              <w:t>起至</w:t>
            </w:r>
            <w:r>
              <w:rPr>
                <w:rFonts w:ascii="仿宋" w:eastAsia="仿宋" w:hAnsi="仿宋" w:cs="仿宋"/>
                <w:color w:val="404040"/>
                <w:sz w:val="24"/>
              </w:rPr>
              <w:t>2024年12月31日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杭银理财幸福99金钱包21号理财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JQB2321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Z7002223000228</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2023年8月29日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44,912,211.06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2024年10月1日</w:t>
            </w:r>
            <w:r>
              <w:rPr>
                <w:rFonts w:ascii="仿宋" w:eastAsia="仿宋" w:hAnsi="仿宋" w:hint="eastAsia"/>
                <w:color w:val="000000"/>
                <w:kern w:val="0"/>
                <w:sz w:val="24"/>
              </w:rPr>
              <w:t>-</w:t>
            </w:r>
            <w:r>
              <w:rPr>
                <w:rFonts w:ascii="仿宋" w:eastAsia="仿宋" w:hAnsi="仿宋" w:cs="仿宋"/>
                <w:color w:val="000000"/>
                <w:sz w:val="24"/>
              </w:rPr>
              <w:t>2024年12月31日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44,912,211.06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44,912,211.06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金钱包21号A款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40,320,489.90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金钱包21号B款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JQB2321B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4,591,721.16</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金钱包21号A款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金钱包21号B款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四季度以来，债券收益率整体大幅下行，9月底出台了一系列宏观经济刺激政策，带动四季度经济弱复苏，地产销售好转，两新两重政策带动汽车家电等消费品增速回升，出口保持韧性，但同时经济内生性增长动力依旧不足，房地产刺激政策效果逐步减弱，消费增速偏弱，通胀数据疲软，信贷需求偏弱，投资者对于基本面持续回升的分歧较大。政策方面，9月25日，央行“四箭齐发”，降准、降息、降存量房贷利率、创设全新货币政策工具（支持股市）等政策齐落地，12月初中央经济工作要求货币政策保持适度宽松，市场普遍预期2025年降息幅度将大于2024年，货币宽松力度有望进一步加大，资金宽松确定性更强。整体而言，目前国内资产利率中枢仍在下行过程中，央行仍将保持宽松的货币政策环境，在适度宽松的货币政策基调下，资产荒和货币政策宽松的债市主线逻辑依旧存在。从收益率来看，截至12月31日，10年国债收益率1.67%，较年初下行88bp，1年期国股存单收益率1.57%，较年初下行89bp，3年期AA+城投债收益率1.91%，较年初下行96bp，3年期AAA银行二级资本债收益率1.76%，较年初下行112bp，相比起来，二级资本债收益率下行幅度更大。投资策略上，本产品积极配置信用债、存单、回购和货币基金等高流动性资产，在保持产品流动性稳定的情况下，积极提升组合收益。</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展望2025年一季度，从基本面来看，四季度以来PMI、工业生产、地产销售等数据边际走强，显示当前基本面弱复苏，PMI连续3个月处于扩张区间， 30城地产销售面积明显回暖，消费仍处于缓慢修复过程中，经济内生性动力有待提升，基本面环境对债市仍偏利好；从政策面来看，中央经济工作会议要求货币政策保持适度宽松，央行支持性的货币政策基调下，市场预期2025年降准降息次数大于2024年。整体而言，经济弱复苏，货币政策有望持续宽松，债市流动性环境相对友好，叠加机构投资者普遍欠配，债券收益率易下难上，但目前债市收益率已来到较低水平，期限利差和信用利差均处于较低位，收益率下行受资金面的约束越发明显，后续继续大幅下行的可能性较小。我们预期一季度债券收益率整体保持低位震荡偏多，策略上优选高流动性资产，关注短端信用债与存单的机会，逢高加仓，若息差走阔可通过加杠杆增厚组合收益。</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0.22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1.71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52.84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32.61</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12.84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非标准化债券类资产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99.78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24交通银行CD087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2,375,811.10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1,188,510.59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24兴业银行CD147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1,188,452.41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1,188,309.36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1,188,299.77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1,188,299.77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24农业银行CD024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1,188,219.99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24兴业银行CD046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1,188,211.60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24浦发银行CD072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1,188,211.60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24交通银行CD074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1,188,169.91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2.65</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58,119,717.43</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44,912,211.06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440,556.90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0.98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100,026.46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71,874.47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70,719.55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70,699.70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60,607.36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51,070.50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50,503.32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50,017.80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48,568.81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0.11</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41.80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-41.80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2023-09-15</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41.80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-41.80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2023-09-12</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26.23</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-26.23</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30,642.68</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0.03</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-49.96</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2023-08-29</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-50.00</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杭银理财幸福99金钱包21号理财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2024年12月31日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3,217.53</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杭银理财幸福99金钱包21号理财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3301040160015309811-322321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2025年1月15日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