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幸福99丰裕固收762天24055期理财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幸福99丰裕固收762天24055期理财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FYG24055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Z7002224000067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2024年3月14日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2026年4月15日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3.65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774,780,045.55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100.46</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774,780,045.55</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751,407,125.00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1.0311</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1.0311</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丰裕固收24055期A款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FYG24055A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1.0297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1.0297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79,637,436.64</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丰裕固收24055期B款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FYG24055B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1.0313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1.0313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643,213,486.66</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丰裕固收24055期C款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FYG24055C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1.0301</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1.0301</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17,265,475.30</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丰裕固收24055期D款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FYG24055D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1.0305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1.0305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34,663,646.95</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丰裕固收24055期A款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4.03</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3.74</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3.63</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3.71</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3.71</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丰裕固收24055期B款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3.93</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3.83</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3.91</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3.91</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丰裕固收24055期C款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4.15</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3.78</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3.69</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3.76</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3.76</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丰裕固收24055期D款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4.15</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3.73</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3.81</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3.81</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稳利低波子系列将继续保持期限匹配策略，不参与交易，维持一定杠杆比例。</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0.26</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35.21</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44.54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46.35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0.40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7.74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64.13</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粤财信托·常华26号诸暨交通专项债权计划-1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170,349,559.44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21.99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光大信托·浙兴36号新昌城建信托计划-3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91,975,610.76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11.87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西部信托·广德国资信托贷款</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89,974,326.00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11.61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24金华融盛MTN005</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50,231,498.63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6.48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23舟普02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42,593,787.59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5.50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24胶州湾PPN001B</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41,457,150.14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5.35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22科城02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31,362,805.48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22安吉国控MTN001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25,819,595.89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3.33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22建安01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20,981,394.52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2.71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24江阴国联PPN002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20,562,791.78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2.65</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广德市国有资产投资经营有限公司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西部信托·广德国资信托贷款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2026-04-10</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89,974,326.00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新昌县城市建设投资集团有限公司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光大信托·浙兴36号新昌城建信托计划-3</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2026-03-25</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91,975,610.76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绍兴市越城区城市发展建设集团有限公司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粤财信托·常华37号越城城发信托计划-1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2026-04-06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10,929,754.96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绍兴滨海新区发展集团有限公司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重庆信托·绍兴滨海信托计划-1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2026-03-27</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999,642.88</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诸暨市交通基础设施建设有限公司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粤财信托·常华26号诸暨交通专项债权计划-1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2026-03-27</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170,349,559.44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751,407,125.00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751,407,125.00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幸福99丰裕固收762天24055期理财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3301040160015309811-5124055</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