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杭银理财幸福99半年添益2010期理财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杭银理财幸福99半年添益2010期理财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TYG6M2010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2020年4月1日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2.30-3.50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944,625,402.80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105.41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944,625,402.80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797,431,222.52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1.1845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1.1845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半年添益2010期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1.1845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1.1845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944,410,079.67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半年添益2010期W款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TYG6M2010W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1.1845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1.1845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215,323.13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半年添益2010期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半年添益2010期W款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3.88</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29.96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70.02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粤财信托·常华100号集合资金信托计划-萧山环境</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96,142,381.80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22工商银行二级03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42,574,331.51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20建设银行二级</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30,905,233.97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22亳州城建PPN001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20,778,740.82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24汇金MTN005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20,388,688.22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22科城02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20,345,736.99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22国开10</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16,602,998.01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22邳恒02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15,481,356.17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24国开15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12,823,769.58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22宁波债14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10,744,594.11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49,003,712.33</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5.19</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杭州萧山环境集团有限公司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粤财信托·常华100号集合资金信托计划-萧山环境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96,142,381.80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864,204,709.87</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797,431,222.52</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125,654.96</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杭银理财有限责任公司幸福99半年添益第2010期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3301040160015309811-332010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