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杭银理财幸福99丰裕固收762天23194期理财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杭银理财幸福99丰裕固收762天23194期理财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FYG23194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Z7002223000277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2023年11月9日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2025年12月10日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4.00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327,586,347.30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115.82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327,586,347.30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312,850,406.00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1.0471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1.0471</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丰裕固收23194期B款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FYG23194B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1.0481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1.0481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188,341,038.64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丰裕固收23194期C款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FYG23194C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1.0457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1.0457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131,283,674.46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丰裕固收23194期D款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FYG23194D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1.0469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1.0469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7,961,634.20</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丰裕固收23194期B款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丰裕固收23194期C款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丰裕固收23194期D款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4.10</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54.92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54.92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39.82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45.01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厦门信托-绍兴城中村信托贷款计划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64,023,253.28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19.54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中信信托·广州科学城债权</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49,052,678.24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14.97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23滨江新城PPN004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31,144,689.45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9.51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华鑫信托·扬州新材料专项债权2301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28,992,735.50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23泰兴城投MTN001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26,584,355.82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23桐庐国运PPN001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26,453,410.96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23南京浦口PPN004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26,326,692.81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23漕湖产业PPN002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26,304,547.26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23建德国资PPN002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26,253,349.32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20泰山投资PPN001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25,212,933.15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7.70</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48,014,993.70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14.66</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扬州新材料国资控股集团有限公司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华鑫信托·扬州新材料专项债权2301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28,992,735.50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杭州大江东城市基础设施建设有限公司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厦门信托·钱塘大江东城基信托贷款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2025-11-24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9,007,149.00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科学城(广州)投资集团有限公司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中信信托·广州科学城债权</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49,052,678.24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绍兴市城中村改造建设投资有限公司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厦门信托-绍兴城中村信托贷款计划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2025-12-07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64,023,253.28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312,850,406.00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312,850,406.00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杭银理财幸福99丰裕固收23194期理财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3301040160015309811-5123194</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