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幸福99丰裕固收762天24041期理财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幸福99丰裕固收762天24041期理财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1,149,872,587.83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101.70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1,149,872,587.83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1,112,884,698.00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1.0332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1.0332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110,220,370.85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315,857,258.48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663,479,124.46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60,315,834.04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4.85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45.52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253,768,763.83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110,036,256.04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95,074,176.00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81,075,969.96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23锡藕02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63,043,169.86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华安中债7-10年国开行债券指数证券投资基金E</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52,044,568.65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50,231,498.63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21柯城01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41,024,257.54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23阳江02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31,492,755.62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24崇德投资PPN001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31,174,427.26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16,002,126.02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1.39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95,074,176.00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台州市路桥国有资产发展集团有限公司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110,036,256.04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253,768,763.83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81,075,969.96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1,112,884,698.00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1,112,884,698.00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幸福99丰裕固收762天24041期理财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3301040160015309811-5124041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