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杭银理财幸福99半年添益2015期理财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杭银理财幸福99半年添益2015期理财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TYG6M2015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Z7002221000180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2020年5月13日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2.20-3.20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680,145,297.53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106.08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680,145,297.53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577,796,140.19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1.1771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1.1771</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半年添益2015期</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TYG6M2015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1.1771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1.1771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678,350,586.75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半年添益2015期W款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TYG6M2015W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1.1771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1.1771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1,794,710.78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半年添益2015期</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半年添益2015期W款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1.68%，较年初下行88bp；1年期国股存单收益率1.58%，较年初下行86bp；3年期AA+城投债收益率1.91%，较年初下行96bp；3年期AAA银行二级资本债收益率1.76%，较年初下行112bp；相比起来，二级资本债收益率下行幅度更大。本产品主要配置固收类资产，债券部分以信用债为主，并且通过利率债、商业银行二级资本债、公募基金等把握交易机会，增厚产品收益。综合运用杠杆策略、久期策略、交易策略等，产品净值收益整体表现较好。</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预期一季度债券收益率整体保持低位震荡偏多，策略上，根据负债、市场调整杠杆、久期等，适时把握利率债或者中高等级债券的阶段性交易机会，同时通过择券配置中短久期信用债获取票息收益。</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本产品主要直接或者间接投资于债券类资产，投资的债券资产流动性状况良好，正常情况下能够及时变现资产，筹集资金，满足本产品的投资者赎回需求或其他支付要求。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85.62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69.12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24中行TLAC非资本债01A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61,568,730.41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24工行TLAC非资本债01A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41,052,177.53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20工商银行二级01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30,892,883.42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24兰溪城投PPN002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25,701,782.53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22建设银行二级01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21,191,901.37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他行存款(823002-000430)</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16,471,510.69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江苏银行股份有限公司</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12,828,186.15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他行存款(823002-000336)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12,393,815.88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他行存款(823002-000431)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10,988,133.73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20涪陵新城PPN001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10,515,153.70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41,004,175.34</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6.03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592,503,069.23</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577,796,140.19</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24兰溪城投PPN002</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25,002,465.75</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250,000.00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89,312.01</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杭银理财有限责任公司幸福99半年添益第2015期</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3301040160015309811-332015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