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杭银理财幸福99丰裕固收23068期（稳利低波款）791天理财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杭银理财幸福99丰裕固收23068期（稳利低波款）791天理财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FYG23068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Z7002223000076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2023年4月13日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2025年6月12日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4.30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952,444,435.62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133.34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952,444,435.62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884,870,392.00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1.0764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1.0764</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丰裕固收23068期A款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FYG23068A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1.0759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1.0759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823,318,754.10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丰裕固收23068期D款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FYG23068D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1.0793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1.0793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129,125,681.52</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丰裕固收23068期A款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4.41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丰裕固收23068期D款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4.61</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76.11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76.11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23.80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23.80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23宣城高新01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100,459,926.03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10.55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23淮安新城06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83,494,993.97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23广德01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72,435,862.82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7.61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22家园02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71,217,608.92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22锡经02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71,186,364.08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23湖州经开07</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68,133,321.62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23重庆临空PPN001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63,341,411.51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22滨江新城债</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52,062,235.39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23德清中创PPN001(项目收益)</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51,403,141.54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22历下控股PPN001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51,203,840.85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5.38</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303,117,277.30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31.83</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宣城高新投资发展有限公司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23宣城高新01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100,459,926.03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淮安新城投资开发有限公司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23淮安新城06</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2025-04-13</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83,494,993.97</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湖州经开投资发展集团有限公司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23湖州经开07</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2025-06-11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68,133,321.62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23肇庆新区01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2025-06-04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50,128,791.10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884,870,392.00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884,870,392.00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杭银理财幸福99丰裕固收23068期理财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3301040160015309811-5123068</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