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幸福99丰裕固收755天24083期理财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幸福99丰裕固收755天24083期理财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FYG24083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Z7002224000103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2024年4月3日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2026年4月28日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3.35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290,524,819.68</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100.67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290,524,819.68</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282,839,146.00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1.0272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1.0272</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丰裕固收24083期A款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FYG24083A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1.0261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1.0261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10,239,860.55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丰裕固收24083期B款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FYG24083B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1.0276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1.0276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5,466,737.31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丰裕固收24083期C款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FYG24083C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1.0269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1.0269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15,325,400.82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丰裕固收24083期D款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FYG24083D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1.0272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1.0272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259,492,821.00</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丰裕固收24083期A款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3.50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丰裕固收24083期B款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3.70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丰裕固收24083期C款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3.61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丰裕固收24083期D款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3.65</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稳利低波子系列将继续保持期限匹配策略，不参与交易，维持一定杠杆比例。</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0.46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0.56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23.41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28.79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45.76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24.67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24.42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51.79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粤财信托·常华37号越城城发信托计划-1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123,208,155.08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42.41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24舟山高新PPN001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27,001,211.56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汇添富丰润中短债债券型证券投资基金</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24,062,856.41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8.28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华夏纯债债券型证券投资基金A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24,056,918.64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8.28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鹏华丰恒债券型证券投资基金</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24,040,336.33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8.27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24陶都城投PPN002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20,735,120.27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24栖霞科技MTN001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20,726,421.92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粤财信托·常华26号诸暨交通信托计划-2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12,004,935.96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质押式逆回购(813001-000647)</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1,382,265.94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0.48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24柯建03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205,379.64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0.07</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绍兴市越城区城市发展建设集团有限公司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粤财信托·常华37号越城城发信托计划-1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2026-04-06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123,208,155.08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诸暨市交通基础设施建设有限公司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粤财信托·常华26号诸暨交通信托计划-2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2026-04-10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12,004,935.96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282,839,146.00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282,839,146.00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幸福99丰裕固收755天24083期理财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3301040160015309811-5124083</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