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杭银理财幸福99半年添益1907期理财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杭银理财幸福99半年添益1907期理财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TYG6M1907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Z7002221000169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2019年4月24日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开放式净值型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2.20-3.20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996,433,553.51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107.19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996,433,553.51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810,188,294.74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1.2298</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1.2298</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半年添益1907期</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TYG6M1907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1.2298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1.2298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995,000,558.77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半年添益1907期W款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TYG6M1907W</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1.2298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1.2298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1,432,994.74</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半年添益1907期</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半年添益1907期W款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4.03</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1.68%，较年初下行88bp；1年期国股存单收益率1.58%，较年初下行86bp；3年期AA+城投债收益率1.91%，较年初下行96bp；3年期AAA银行二级资本债收益率1.76%，较年初下行112bp；相比起来，二级资本债收益率下行幅度更大。本产品主要配置固收类资产，债券部分以信用债为主，并且通过利率债、商业银行二级资本债、公募基金等把握交易机会，增厚产品收益。综合运用杠杆策略、久期策略、交易策略等，产品净值收益整体表现较好。</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预期一季度债券收益率整体保持低位震荡偏多，策略上，根据负债、市场调整杠杆、久期等，适时把握利率债或者中高等级债券的阶段性交易机会，同时通过择券配置中短久期信用债获取票息收益。</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本产品主要直接或者间接投资于债券类资产，投资的债券资产流动性状况良好，正常情况下能够及时变现资产，筹集资金，满足本产品的投资者赎回需求或其他支付要求。</w:t>
        <w:cr/>
        <w:t xml:space="preserve">    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0.52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34.51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58.20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27.07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56.25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粤财信托·常华107号集合资金信托计划·经开国控</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288,246,865.99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28.93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24附息国债06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52,970,567.12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23海尖01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52,619,979.45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24中国银行CD063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49,344,642.05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24交通银行CD356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49,315,208.90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23奉化02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30,586,253.42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22农行二级资本债02A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20,845,007.40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22西盛投资PPN001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20,744,652.88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22金华金开PPN001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20,652,202.74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24中行TLAC非资本债01A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20,522,910.14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2.06</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70,005,342.47</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7.03</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杭州萧山经济技术开发区国有资本控股集团有限公司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粤财信托·常华107号集合资金信托计划·经开国控</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288,246,865.99</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729,999,059.33</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810,188,294.74</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r>
        <w:tblPrEx>
          <w:tblW w:w="8994" w:type="dxa"/>
          <w:tblInd w:w="67" w:type="dxa"/>
          <w:tblLayout w:type="fixed"/>
          <w:tblLook w:val="04A0"/>
        </w:tblPrEx>
        <w:trPr>
          <w:trHeight w:val="187"/>
        </w:trPr>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托管费</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114,832.25</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杭银理财有限责任公司幸福99半年添益第1907期</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3301040160015309811-331907</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