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杭银理财幸福99金钱包16号理财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杭银理财幸福99金钱包16号理财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JQB2316</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Z7002223000223</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7,946,530.58</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7,946,530.58</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7,946,530.58</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金钱包16号A款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4,792,239.20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金钱包16号B款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1,654,594.62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金钱包16号T款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JQB2316T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1,499,696.76</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金钱包16号A款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2.01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金钱包16号B款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金钱包16号T款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1.60</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0.77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2.26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56.25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27.82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13.67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99.23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447,425.50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223,826.70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223,815.74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223,786.99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223,788.80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223,786.99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223,771.97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223,770.39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223,770.39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223,762.54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2.82</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10,412,690.10</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7,946,530.58</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100,394.56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70,240.06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0.88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66,329.94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0.83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40,101.55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36,120.86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30,118.34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30,093.29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30,087.30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30,080.54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30,079.57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98.96</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-98.96</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杭银理财幸福99金钱包16号理财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642.97</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杭银理财幸福99金钱包16号理财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3301040160015309811-322316</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