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mbeddings/oleObject1.bin" ContentType="application/vnd.openxmlformats-officedocument.oleObject"/>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22.12.0 -->
  <w:body>
    <w:p w:rsidR="00E3567D">
      <w:pPr>
        <w:jc w:val="center"/>
        <w:rPr>
          <w:rFonts w:ascii="宋体" w:eastAsia="宋体" w:hAnsi="宋体"/>
          <w:b/>
          <w:sz w:val="32"/>
          <w:szCs w:val="20"/>
        </w:rPr>
      </w:pPr>
    </w:p>
    <w:p w:rsidR="00E3567D">
      <w:pPr>
        <w:adjustRightInd w:val="0"/>
        <w:snapToGrid w:val="0"/>
        <w:spacing w:line="460" w:lineRule="exact"/>
        <w:jc w:val="center"/>
        <w:rPr>
          <w:rFonts w:ascii="Times New Roman" w:eastAsia="方正楷体简体" w:hAnsi="Times New Roman"/>
          <w:sz w:val="24"/>
        </w:rPr>
      </w:pPr>
    </w:p>
    <w:p w:rsidR="00E3567D"/>
    <w:p w:rsidR="00E3567D">
      <w:pPr>
        <w:autoSpaceDE w:val="0"/>
        <w:autoSpaceDN w:val="0"/>
        <w:spacing w:before="220"/>
        <w:jc w:val="center"/>
        <w:rPr>
          <w:rFonts w:ascii="仿宋_GB2312" w:eastAsia="仿宋_GB2312" w:hAnsi="仿宋_GB2312" w:cs="仿宋_GB2312"/>
          <w:b/>
          <w:kern w:val="0"/>
          <w:sz w:val="52"/>
          <w:szCs w:val="52"/>
          <w:lang w:bidi="zh-CN"/>
        </w:rPr>
      </w:pPr>
      <w:r>
        <w:rPr>
          <w:rFonts w:ascii="仿宋_GB2312" w:eastAsia="仿宋_GB2312" w:hAnsi="仿宋_GB2312" w:cs="仿宋_GB2312" w:hint="eastAsia"/>
          <w:b/>
          <w:kern w:val="0"/>
          <w:sz w:val="52"/>
          <w:szCs w:val="52"/>
          <w:lang w:bidi="zh-CN"/>
        </w:rPr>
        <w:t>杭银理财幸福99金钱包13号理财</w:t>
      </w:r>
    </w:p>
    <w:p w:rsidR="00E3567D">
      <w:pPr>
        <w:autoSpaceDE w:val="0"/>
        <w:autoSpaceDN w:val="0"/>
        <w:spacing w:line="360" w:lineRule="auto"/>
        <w:jc w:val="center"/>
        <w:rPr>
          <w:rFonts w:ascii="仿宋_GB2312" w:eastAsia="仿宋_GB2312" w:hAnsi="仿宋_GB2312" w:cs="仿宋_GB2312"/>
          <w:b/>
          <w:bCs/>
          <w:kern w:val="0"/>
          <w:sz w:val="44"/>
          <w:szCs w:val="44"/>
          <w:lang w:bidi="zh-CN"/>
        </w:rPr>
      </w:pPr>
      <w:r>
        <w:rPr>
          <w:rFonts w:ascii="仿宋_GB2312" w:eastAsia="仿宋_GB2312" w:hAnsi="仿宋_GB2312" w:cs="仿宋_GB2312" w:hint="eastAsia"/>
          <w:b/>
          <w:bCs/>
          <w:kern w:val="0"/>
          <w:sz w:val="44"/>
          <w:szCs w:val="44"/>
          <w:lang w:bidi="zh-CN"/>
        </w:rPr>
        <w:t>2024</w:t>
      </w:r>
      <w:r>
        <w:rPr>
          <w:rFonts w:ascii="仿宋_GB2312" w:eastAsia="仿宋_GB2312" w:hAnsi="仿宋_GB2312" w:cs="仿宋_GB2312"/>
          <w:b/>
          <w:sz w:val="44"/>
        </w:rPr>
        <w:t>年第</w:t>
      </w:r>
      <w:r>
        <w:rPr>
          <w:rFonts w:ascii="仿宋_GB2312" w:eastAsia="仿宋_GB2312" w:hAnsi="仿宋_GB2312" w:cs="仿宋_GB2312"/>
          <w:b/>
          <w:sz w:val="44"/>
        </w:rPr>
        <w:t>4</w:t>
      </w:r>
      <w:r>
        <w:rPr>
          <w:rFonts w:ascii="仿宋_GB2312" w:eastAsia="仿宋_GB2312" w:hAnsi="仿宋_GB2312" w:cs="仿宋_GB2312"/>
          <w:b/>
          <w:sz w:val="44"/>
        </w:rPr>
        <w:t>季度报告</w:t>
      </w:r>
    </w:p>
    <w:p w:rsidR="00E3567D">
      <w:pPr>
        <w:jc w:val="center"/>
        <w:rPr>
          <w:rFonts w:ascii="宋体" w:eastAsia="宋体" w:hAnsi="宋体"/>
          <w:color w:val="0000FF"/>
          <w:kern w:val="0"/>
          <w:sz w:val="18"/>
          <w:szCs w:val="20"/>
        </w:rPr>
      </w:pPr>
    </w:p>
    <w:p w:rsidR="00E3567D">
      <w:pPr>
        <w:jc w:val="center"/>
        <w:rPr>
          <w:rFonts w:ascii="Times New Roman" w:eastAsia="宋体" w:hAnsi="Times New Roman"/>
          <w:sz w:val="24"/>
        </w:rPr>
      </w:pPr>
    </w:p>
    <w:p w:rsidR="00E3567D">
      <w:pPr>
        <w:jc w:val="center"/>
        <w:rPr>
          <w:rFonts w:eastAsia="宋体"/>
          <w:sz w:val="24"/>
        </w:rPr>
      </w:pPr>
    </w:p>
    <w:p w:rsidR="00E3567D">
      <w:pPr>
        <w:jc w:val="center"/>
        <w:rPr>
          <w:rFonts w:eastAsia="宋体"/>
          <w:sz w:val="24"/>
        </w:rPr>
      </w:pPr>
    </w:p>
    <w:p w:rsidR="00E3567D">
      <w:pPr>
        <w:jc w:val="center"/>
        <w:rPr>
          <w:rFonts w:ascii="仿宋" w:eastAsia="仿宋" w:hAnsi="仿宋"/>
          <w:sz w:val="24"/>
        </w:rPr>
      </w:pPr>
    </w:p>
    <w:p w:rsidR="00E3567D">
      <w:pPr>
        <w:jc w:val="center"/>
        <w:rPr>
          <w:rFonts w:ascii="仿宋" w:eastAsia="仿宋" w:hAnsi="仿宋"/>
          <w:sz w:val="24"/>
        </w:rPr>
      </w:pPr>
    </w:p>
    <w:p w:rsidR="00E3567D">
      <w:pPr>
        <w:jc w:val="center"/>
        <w:rPr>
          <w:rFonts w:ascii="仿宋" w:eastAsia="仿宋" w:hAnsi="仿宋"/>
          <w:sz w:val="24"/>
        </w:rPr>
      </w:pPr>
      <w:r>
        <w:rPr>
          <w:rFonts w:ascii="仿宋" w:eastAsia="仿宋" w:hAnsi="仿宋" w:hint="eastAsia"/>
          <w:sz w:val="24"/>
        </w:rPr>
        <w:t>产品管理人：</w:t>
      </w:r>
      <w:r>
        <w:rPr>
          <w:rFonts w:ascii="仿宋" w:eastAsia="仿宋" w:hAnsi="仿宋"/>
          <w:sz w:val="24"/>
        </w:rPr>
        <w:t>杭银理财有限责任公司</w:t>
      </w:r>
    </w:p>
    <w:p w:rsidR="00E3567D">
      <w:pPr>
        <w:jc w:val="center"/>
        <w:rPr>
          <w:rFonts w:ascii="仿宋" w:eastAsia="仿宋" w:hAnsi="仿宋"/>
          <w:sz w:val="24"/>
        </w:rPr>
      </w:pPr>
      <w:r>
        <w:rPr>
          <w:rFonts w:ascii="仿宋" w:eastAsia="仿宋" w:hAnsi="仿宋" w:hint="eastAsia"/>
          <w:sz w:val="24"/>
        </w:rPr>
        <w:t>产品托管人：</w:t>
      </w:r>
      <w:r>
        <w:rPr>
          <w:rFonts w:ascii="仿宋" w:eastAsia="仿宋" w:hAnsi="仿宋"/>
          <w:sz w:val="24"/>
        </w:rPr>
        <w:t>杭州银行股份有限公司</w:t>
      </w:r>
    </w:p>
    <w:p w:rsidR="00E3567D">
      <w:pPr>
        <w:jc w:val="center"/>
        <w:rPr>
          <w:rFonts w:ascii="仿宋" w:eastAsia="仿宋" w:hAnsi="仿宋"/>
          <w:sz w:val="24"/>
        </w:rPr>
      </w:pPr>
    </w:p>
    <w:p w:rsidR="00E3567D">
      <w:pPr>
        <w:jc w:val="center"/>
        <w:rPr>
          <w:rFonts w:ascii="仿宋" w:eastAsia="仿宋" w:hAnsi="仿宋"/>
          <w:sz w:val="24"/>
        </w:rPr>
      </w:pPr>
    </w:p>
    <w:p w:rsidR="00E3567D">
      <w:pPr>
        <w:jc w:val="center"/>
        <w:rPr>
          <w:rFonts w:ascii="仿宋" w:eastAsia="仿宋" w:hAnsi="仿宋"/>
          <w:sz w:val="24"/>
        </w:rPr>
      </w:pPr>
    </w:p>
    <w:p w:rsidR="00E3567D">
      <w:pPr>
        <w:jc w:val="center"/>
        <w:rPr>
          <w:rFonts w:ascii="仿宋" w:eastAsia="仿宋" w:hAnsi="仿宋"/>
          <w:sz w:val="24"/>
        </w:rPr>
      </w:pPr>
      <w:r>
        <w:rPr>
          <w:rFonts w:ascii="仿宋" w:eastAsia="仿宋" w:hAnsi="仿宋"/>
          <w:sz w:val="24"/>
        </w:rPr>
        <w:t>2025年1月15日</w:t>
      </w:r>
    </w:p>
    <w:p w:rsidR="00E3567D">
      <w:pPr>
        <w:jc w:val="center"/>
        <w:rPr>
          <w:rFonts w:ascii="仿宋" w:eastAsia="仿宋" w:hAnsi="仿宋"/>
          <w:sz w:val="24"/>
        </w:rPr>
      </w:pPr>
    </w:p>
    <w:p w:rsidR="00E3567D">
      <w:pPr>
        <w:jc w:val="center"/>
        <w:rPr>
          <w:rFonts w:ascii="仿宋" w:eastAsia="仿宋" w:hAnsi="仿宋"/>
          <w:sz w:val="24"/>
        </w:rPr>
      </w:pPr>
    </w:p>
    <w:p w:rsidR="00E3567D">
      <w:pPr>
        <w:jc w:val="center"/>
        <w:rPr>
          <w:rFonts w:ascii="宋体" w:eastAsia="宋体" w:hAnsi="宋体"/>
        </w:rPr>
      </w:pPr>
    </w:p>
    <w:p w:rsidR="00E3567D">
      <w:pPr>
        <w:jc w:val="center"/>
        <w:rPr>
          <w:rFonts w:ascii="宋体" w:eastAsia="宋体" w:hAnsi="宋体"/>
        </w:rPr>
      </w:pPr>
    </w:p>
    <w:p w:rsidR="00E3567D">
      <w:pPr>
        <w:pStyle w:val="Heading2"/>
        <w:adjustRightInd w:val="0"/>
        <w:snapToGrid w:val="0"/>
        <w:spacing w:line="560" w:lineRule="exact"/>
        <w:jc w:val="center"/>
        <w:rPr>
          <w:rFonts w:ascii="仿宋" w:eastAsia="仿宋" w:hAnsi="仿宋"/>
          <w:sz w:val="24"/>
        </w:rPr>
      </w:pPr>
      <w:bookmarkStart w:id="0" w:name="_Toc1614822195"/>
      <w:r>
        <w:rPr>
          <w:rFonts w:ascii="仿宋" w:eastAsia="仿宋" w:hAnsi="仿宋" w:hint="eastAsia"/>
          <w:sz w:val="24"/>
        </w:rPr>
        <w:t>§1  重要提示</w:t>
      </w:r>
      <w:bookmarkEnd w:id="0"/>
    </w:p>
    <w:tbl>
      <w:tblPr>
        <w:tblW w:w="91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120"/>
      </w:tblGrid>
      <w:tr>
        <w:tblPrEx>
          <w:tblW w:w="91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rPr>
          <w:trHeight w:val="3141"/>
        </w:trPr>
        <w:tc>
          <w:tcPr>
            <w:tcW w:w="9120"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spacing w:line="420" w:lineRule="exact"/>
              <w:ind w:firstLine="480" w:firstLineChars="200"/>
              <w:jc w:val="left"/>
              <w:rPr>
                <w:rFonts w:ascii="仿宋" w:eastAsia="仿宋" w:hAnsi="仿宋"/>
                <w:color w:val="404040"/>
                <w:kern w:val="0"/>
                <w:sz w:val="24"/>
              </w:rPr>
            </w:pPr>
            <w:r>
              <w:rPr>
                <w:rFonts w:ascii="仿宋" w:eastAsia="仿宋" w:hAnsi="仿宋" w:hint="eastAsia"/>
                <w:color w:val="404040"/>
                <w:kern w:val="0"/>
                <w:sz w:val="24"/>
              </w:rPr>
              <w:t>产品管理人承诺以诚实信用、勤勉尽责的原则管理和运用产品资产，并如实反映产品财务指标及投资组合情况，但不保证产品一定盈利。</w:t>
            </w:r>
          </w:p>
          <w:p w:rsidR="00E3567D">
            <w:pPr>
              <w:widowControl/>
              <w:adjustRightInd w:val="0"/>
              <w:snapToGrid w:val="0"/>
              <w:spacing w:line="420" w:lineRule="exact"/>
              <w:ind w:firstLine="480" w:firstLineChars="200"/>
              <w:jc w:val="left"/>
              <w:rPr>
                <w:rFonts w:ascii="仿宋" w:eastAsia="仿宋" w:hAnsi="仿宋"/>
                <w:color w:val="404040"/>
                <w:kern w:val="0"/>
                <w:sz w:val="24"/>
              </w:rPr>
            </w:pPr>
            <w:r>
              <w:rPr>
                <w:rFonts w:ascii="仿宋" w:eastAsia="仿宋" w:hAnsi="仿宋" w:hint="eastAsia"/>
                <w:color w:val="404040"/>
                <w:kern w:val="0"/>
                <w:sz w:val="24"/>
              </w:rPr>
              <w:t>产品托管人根据本产品合同规定，于</w:t>
            </w:r>
            <w:r>
              <w:rPr>
                <w:rFonts w:ascii="仿宋" w:eastAsia="仿宋" w:hAnsi="仿宋" w:cs="仿宋"/>
                <w:color w:val="404040"/>
                <w:sz w:val="24"/>
              </w:rPr>
              <w:t>2024年12月31日</w:t>
            </w:r>
            <w:r>
              <w:rPr>
                <w:rFonts w:ascii="仿宋" w:eastAsia="仿宋" w:hAnsi="仿宋" w:hint="eastAsia"/>
                <w:color w:val="404040"/>
                <w:kern w:val="0"/>
                <w:sz w:val="24"/>
              </w:rPr>
              <w:t>复核了本报告中的财务指标、净值表现和投资组合报告等内容，保证复核内容不存在虚假记载、误导性陈述或者重大遗漏。</w:t>
            </w:r>
          </w:p>
          <w:p w:rsidR="00E3567D">
            <w:pPr>
              <w:widowControl/>
              <w:adjustRightInd w:val="0"/>
              <w:snapToGrid w:val="0"/>
              <w:spacing w:line="420" w:lineRule="exact"/>
              <w:ind w:firstLine="480" w:firstLineChars="200"/>
              <w:jc w:val="left"/>
              <w:rPr>
                <w:rFonts w:ascii="仿宋" w:eastAsia="仿宋" w:hAnsi="仿宋"/>
                <w:color w:val="404040"/>
                <w:kern w:val="0"/>
                <w:sz w:val="24"/>
              </w:rPr>
            </w:pPr>
            <w:r>
              <w:rPr>
                <w:rFonts w:ascii="仿宋" w:eastAsia="仿宋" w:hAnsi="仿宋" w:hint="eastAsia"/>
                <w:color w:val="404040"/>
                <w:kern w:val="0"/>
                <w:sz w:val="24"/>
              </w:rPr>
              <w:t>产品的过往业绩并不代表其未来表现。投资有风险，投资者在</w:t>
            </w:r>
            <w:r>
              <w:rPr>
                <w:rFonts w:ascii="仿宋" w:eastAsia="仿宋" w:hAnsi="仿宋" w:hint="eastAsia"/>
                <w:color w:val="404040"/>
                <w:kern w:val="0"/>
                <w:sz w:val="24"/>
              </w:rPr>
              <w:t>作出</w:t>
            </w:r>
            <w:r>
              <w:rPr>
                <w:rFonts w:ascii="仿宋" w:eastAsia="仿宋" w:hAnsi="仿宋" w:hint="eastAsia"/>
                <w:color w:val="404040"/>
                <w:kern w:val="0"/>
                <w:sz w:val="24"/>
              </w:rPr>
              <w:t>投资决策前应仔细阅读本产品的产品说明书。</w:t>
            </w:r>
          </w:p>
          <w:p w:rsidR="00E3567D">
            <w:pPr>
              <w:widowControl/>
              <w:adjustRightInd w:val="0"/>
              <w:snapToGrid w:val="0"/>
              <w:spacing w:line="420" w:lineRule="exact"/>
              <w:ind w:firstLine="480" w:firstLineChars="200"/>
              <w:jc w:val="left"/>
              <w:rPr>
                <w:rFonts w:ascii="仿宋" w:eastAsia="仿宋" w:hAnsi="仿宋"/>
                <w:color w:val="404040"/>
                <w:kern w:val="0"/>
                <w:sz w:val="24"/>
              </w:rPr>
            </w:pPr>
            <w:r>
              <w:rPr>
                <w:rFonts w:ascii="仿宋" w:eastAsia="仿宋" w:hAnsi="仿宋" w:hint="eastAsia"/>
                <w:color w:val="404040"/>
                <w:kern w:val="0"/>
                <w:sz w:val="24"/>
              </w:rPr>
              <w:t>本报告中财务资料未经审计。</w:t>
            </w:r>
          </w:p>
          <w:p w:rsidR="00E3567D">
            <w:pPr>
              <w:widowControl/>
              <w:adjustRightInd w:val="0"/>
              <w:snapToGrid w:val="0"/>
              <w:spacing w:line="420" w:lineRule="exact"/>
              <w:ind w:firstLine="480" w:firstLineChars="200"/>
              <w:jc w:val="left"/>
              <w:rPr>
                <w:rFonts w:ascii="仿宋" w:eastAsia="仿宋" w:hAnsi="仿宋"/>
                <w:sz w:val="24"/>
              </w:rPr>
            </w:pPr>
            <w:r>
              <w:rPr>
                <w:rFonts w:ascii="仿宋" w:eastAsia="仿宋" w:hAnsi="仿宋" w:hint="eastAsia"/>
                <w:color w:val="404040"/>
                <w:kern w:val="0"/>
                <w:sz w:val="24"/>
              </w:rPr>
              <w:t>本报告期自</w:t>
            </w:r>
            <w:r>
              <w:rPr>
                <w:rFonts w:ascii="仿宋" w:eastAsia="仿宋" w:hAnsi="仿宋" w:cs="仿宋"/>
                <w:color w:val="404040"/>
                <w:sz w:val="24"/>
              </w:rPr>
              <w:t>2024年10月1日</w:t>
            </w:r>
            <w:r>
              <w:rPr>
                <w:rFonts w:ascii="仿宋" w:eastAsia="仿宋" w:hAnsi="仿宋" w:hint="eastAsia"/>
                <w:color w:val="404040"/>
                <w:kern w:val="0"/>
                <w:sz w:val="24"/>
              </w:rPr>
              <w:t>起至</w:t>
            </w:r>
            <w:r>
              <w:rPr>
                <w:rFonts w:ascii="仿宋" w:eastAsia="仿宋" w:hAnsi="仿宋" w:cs="仿宋"/>
                <w:color w:val="404040"/>
                <w:sz w:val="24"/>
              </w:rPr>
              <w:t>2024年12月31日</w:t>
            </w:r>
            <w:r>
              <w:rPr>
                <w:rFonts w:ascii="仿宋" w:eastAsia="仿宋" w:hAnsi="仿宋" w:hint="eastAsia"/>
                <w:color w:val="404040"/>
                <w:kern w:val="0"/>
                <w:sz w:val="24"/>
              </w:rPr>
              <w:t>止。</w:t>
            </w:r>
          </w:p>
        </w:tc>
      </w:tr>
    </w:tbl>
    <w:p w:rsidR="00E3567D">
      <w:pPr>
        <w:rPr>
          <w:rStyle w:val="a2"/>
          <w:rFonts w:ascii="仿宋" w:eastAsia="仿宋" w:hAnsi="仿宋"/>
          <w:color w:val="0000FF"/>
          <w:sz w:val="24"/>
          <w:szCs w:val="24"/>
        </w:rPr>
      </w:pPr>
      <w:r>
        <w:rPr>
          <w:rStyle w:val="a2"/>
          <w:rFonts w:ascii="仿宋" w:eastAsia="仿宋" w:hAnsi="仿宋"/>
          <w:color w:val="0000FF"/>
          <w:sz w:val="24"/>
          <w:szCs w:val="24"/>
        </w:rPr>
        <w:t xml:space="preserve"> </w:t>
      </w:r>
    </w:p>
    <w:p w:rsidR="00E3567D">
      <w:pPr>
        <w:pStyle w:val="Heading2"/>
        <w:adjustRightInd w:val="0"/>
        <w:snapToGrid w:val="0"/>
        <w:spacing w:line="560" w:lineRule="exact"/>
        <w:jc w:val="center"/>
        <w:rPr>
          <w:rFonts w:ascii="仿宋" w:eastAsia="仿宋" w:hAnsi="仿宋"/>
          <w:sz w:val="24"/>
        </w:rPr>
      </w:pPr>
      <w:bookmarkStart w:id="1" w:name="_Toc418300579"/>
      <w:r>
        <w:rPr>
          <w:rFonts w:ascii="仿宋" w:eastAsia="仿宋" w:hAnsi="仿宋" w:hint="eastAsia"/>
          <w:sz w:val="24"/>
        </w:rPr>
        <w:t>§2  产品概况</w:t>
      </w:r>
      <w:bookmarkEnd w:id="1"/>
    </w:p>
    <w:p w:rsidR="00E3567D">
      <w:pPr>
        <w:adjustRightInd w:val="0"/>
        <w:snapToGrid w:val="0"/>
        <w:spacing w:line="440" w:lineRule="exact"/>
        <w:outlineLvl w:val="2"/>
        <w:rPr>
          <w:rFonts w:ascii="仿宋" w:eastAsia="仿宋" w:hAnsi="仿宋"/>
          <w:b/>
          <w:sz w:val="24"/>
        </w:rPr>
      </w:pPr>
      <w:bookmarkStart w:id="2" w:name="_Toc354129567"/>
      <w:bookmarkStart w:id="3" w:name="_Toc1663854622"/>
      <w:r>
        <w:rPr>
          <w:rFonts w:ascii="仿宋" w:eastAsia="仿宋" w:hAnsi="仿宋" w:hint="eastAsia"/>
          <w:b/>
          <w:sz w:val="24"/>
        </w:rPr>
        <w:t>2.1 产品基本情况</w:t>
      </w:r>
      <w:bookmarkEnd w:id="2"/>
      <w:bookmarkEnd w:id="3"/>
    </w:p>
    <w:tbl>
      <w:tblPr>
        <w:tblW w:w="90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255"/>
        <w:gridCol w:w="5834"/>
      </w:tblGrid>
      <w:tr>
        <w:tblPrEx>
          <w:tblW w:w="90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rPr>
          <w:trHeight w:val="211"/>
        </w:trPr>
        <w:tc>
          <w:tcPr>
            <w:tcW w:w="3255"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Fonts w:ascii="仿宋" w:eastAsia="仿宋" w:hAnsi="仿宋"/>
                <w:kern w:val="0"/>
                <w:sz w:val="24"/>
              </w:rPr>
            </w:pPr>
            <w:r>
              <w:rPr>
                <w:rFonts w:ascii="仿宋" w:eastAsia="仿宋" w:hAnsi="仿宋" w:hint="eastAsia"/>
                <w:kern w:val="0"/>
                <w:sz w:val="24"/>
              </w:rPr>
              <w:t>产品名称</w:t>
            </w:r>
          </w:p>
        </w:tc>
        <w:tc>
          <w:tcPr>
            <w:tcW w:w="5834"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Style w:val="a2"/>
                <w:rFonts w:ascii="仿宋" w:eastAsia="仿宋" w:hAnsi="仿宋" w:cs="等线"/>
                <w:color w:val="0000FF"/>
                <w:sz w:val="24"/>
                <w:szCs w:val="24"/>
              </w:rPr>
            </w:pPr>
            <w:r>
              <w:rPr>
                <w:rFonts w:ascii="仿宋" w:eastAsia="仿宋" w:hAnsi="仿宋" w:cs="等线" w:hint="eastAsia"/>
                <w:kern w:val="0"/>
                <w:sz w:val="24"/>
              </w:rPr>
              <w:t>杭银理财幸福99金钱包13号理财</w:t>
            </w:r>
          </w:p>
        </w:tc>
      </w:tr>
      <w:tr>
        <w:tblPrEx>
          <w:tblW w:w="9089" w:type="dxa"/>
          <w:tblLayout w:type="fixed"/>
          <w:tblLook w:val="04A0"/>
        </w:tblPrEx>
        <w:trPr>
          <w:trHeight w:val="174"/>
        </w:trPr>
        <w:tc>
          <w:tcPr>
            <w:tcW w:w="3255"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Fonts w:ascii="仿宋" w:eastAsia="仿宋" w:hAnsi="仿宋"/>
                <w:kern w:val="0"/>
                <w:sz w:val="24"/>
              </w:rPr>
            </w:pPr>
            <w:r>
              <w:rPr>
                <w:rFonts w:ascii="仿宋" w:eastAsia="仿宋" w:hAnsi="仿宋" w:hint="eastAsia"/>
                <w:kern w:val="0"/>
                <w:sz w:val="24"/>
              </w:rPr>
              <w:t>产品代码</w:t>
            </w:r>
          </w:p>
        </w:tc>
        <w:tc>
          <w:tcPr>
            <w:tcW w:w="5834"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Style w:val="a2"/>
                <w:rFonts w:ascii="仿宋" w:eastAsia="仿宋" w:hAnsi="仿宋" w:cs="等线"/>
                <w:color w:val="0000FF"/>
                <w:sz w:val="24"/>
                <w:szCs w:val="24"/>
              </w:rPr>
            </w:pPr>
            <w:r>
              <w:rPr>
                <w:rFonts w:ascii="仿宋" w:eastAsia="仿宋" w:hAnsi="仿宋" w:cs="等线" w:hint="eastAsia"/>
                <w:kern w:val="0"/>
                <w:sz w:val="24"/>
              </w:rPr>
              <w:t>JQB2313</w:t>
            </w:r>
          </w:p>
        </w:tc>
      </w:tr>
      <w:tr>
        <w:tblPrEx>
          <w:tblW w:w="9089" w:type="dxa"/>
          <w:tblLayout w:type="fixed"/>
          <w:tblLook w:val="04A0"/>
        </w:tblPrEx>
        <w:tc>
          <w:tcPr>
            <w:tcW w:w="3255"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Fonts w:ascii="仿宋" w:eastAsia="仿宋" w:hAnsi="仿宋"/>
                <w:kern w:val="0"/>
                <w:sz w:val="24"/>
              </w:rPr>
            </w:pPr>
            <w:r>
              <w:rPr>
                <w:rFonts w:ascii="仿宋" w:eastAsia="仿宋" w:hAnsi="仿宋" w:hint="eastAsia"/>
                <w:kern w:val="0"/>
                <w:sz w:val="24"/>
              </w:rPr>
              <w:t>理财信息登记系统登记编码</w:t>
            </w:r>
          </w:p>
        </w:tc>
        <w:tc>
          <w:tcPr>
            <w:tcW w:w="5834"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Style w:val="a2"/>
                <w:rFonts w:ascii="仿宋" w:eastAsia="仿宋" w:hAnsi="仿宋" w:cs="等线"/>
                <w:color w:val="0000FF"/>
                <w:sz w:val="24"/>
                <w:szCs w:val="24"/>
              </w:rPr>
            </w:pPr>
            <w:r>
              <w:rPr>
                <w:rFonts w:ascii="仿宋" w:eastAsia="仿宋" w:hAnsi="仿宋" w:cs="等线" w:hint="eastAsia"/>
                <w:kern w:val="0"/>
                <w:sz w:val="24"/>
              </w:rPr>
              <w:t>Z7002223000220</w:t>
            </w:r>
          </w:p>
        </w:tc>
      </w:tr>
      <w:tr>
        <w:tblPrEx>
          <w:tblW w:w="9089" w:type="dxa"/>
          <w:tblLayout w:type="fixed"/>
          <w:tblLook w:val="04A0"/>
        </w:tblPrEx>
        <w:trPr>
          <w:trHeight w:val="98"/>
        </w:trPr>
        <w:tc>
          <w:tcPr>
            <w:tcW w:w="3255"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Fonts w:ascii="仿宋" w:eastAsia="仿宋" w:hAnsi="仿宋"/>
                <w:sz w:val="24"/>
              </w:rPr>
            </w:pPr>
            <w:r>
              <w:rPr>
                <w:rFonts w:ascii="仿宋" w:eastAsia="仿宋" w:hAnsi="仿宋" w:hint="eastAsia"/>
                <w:kern w:val="0"/>
                <w:sz w:val="24"/>
              </w:rPr>
              <w:t>产品成立日</w:t>
            </w:r>
          </w:p>
        </w:tc>
        <w:tc>
          <w:tcPr>
            <w:tcW w:w="5834"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Style w:val="a2"/>
                <w:rFonts w:ascii="仿宋" w:eastAsia="仿宋" w:hAnsi="仿宋" w:cs="等线"/>
                <w:color w:val="0000FF"/>
                <w:sz w:val="24"/>
                <w:szCs w:val="24"/>
              </w:rPr>
            </w:pPr>
            <w:r>
              <w:rPr>
                <w:rFonts w:ascii="仿宋" w:eastAsia="仿宋" w:hAnsi="仿宋" w:cs="等线" w:hint="eastAsia"/>
                <w:kern w:val="0"/>
                <w:sz w:val="24"/>
              </w:rPr>
              <w:t>2023年8月29日</w:t>
            </w:r>
          </w:p>
        </w:tc>
      </w:tr>
      <w:tr>
        <w:tblPrEx>
          <w:tblW w:w="9089" w:type="dxa"/>
          <w:tblLayout w:type="fixed"/>
          <w:tblLook w:val="04A0"/>
        </w:tblPrEx>
        <w:trPr>
          <w:trHeight w:val="60"/>
        </w:trPr>
        <w:tc>
          <w:tcPr>
            <w:tcW w:w="3255"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Fonts w:ascii="仿宋" w:eastAsia="仿宋" w:hAnsi="仿宋"/>
                <w:kern w:val="0"/>
                <w:sz w:val="24"/>
              </w:rPr>
            </w:pPr>
            <w:r>
              <w:rPr>
                <w:rFonts w:ascii="仿宋" w:eastAsia="仿宋" w:hAnsi="仿宋" w:hint="eastAsia"/>
                <w:kern w:val="0"/>
                <w:sz w:val="24"/>
              </w:rPr>
              <w:t>产品到期日</w:t>
            </w:r>
          </w:p>
        </w:tc>
        <w:tc>
          <w:tcPr>
            <w:tcW w:w="5834"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Style w:val="a2"/>
                <w:rFonts w:ascii="仿宋" w:eastAsia="仿宋" w:hAnsi="仿宋" w:cs="等线"/>
                <w:color w:val="0000FF"/>
                <w:sz w:val="24"/>
                <w:szCs w:val="24"/>
              </w:rPr>
            </w:pPr>
            <w:r>
              <w:rPr>
                <w:rFonts w:ascii="仿宋" w:eastAsia="仿宋" w:hAnsi="仿宋" w:cs="等线" w:hint="eastAsia"/>
                <w:kern w:val="0"/>
                <w:sz w:val="24"/>
              </w:rPr>
              <w:t>-</w:t>
            </w:r>
          </w:p>
        </w:tc>
      </w:tr>
      <w:tr>
        <w:tblPrEx>
          <w:tblW w:w="9089" w:type="dxa"/>
          <w:tblLayout w:type="fixed"/>
          <w:tblLook w:val="04A0"/>
        </w:tblPrEx>
        <w:trPr>
          <w:trHeight w:val="178"/>
        </w:trPr>
        <w:tc>
          <w:tcPr>
            <w:tcW w:w="3255"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Fonts w:ascii="仿宋" w:eastAsia="仿宋" w:hAnsi="仿宋"/>
                <w:kern w:val="0"/>
                <w:sz w:val="24"/>
              </w:rPr>
            </w:pPr>
            <w:r>
              <w:rPr>
                <w:rFonts w:ascii="仿宋" w:eastAsia="仿宋" w:hAnsi="仿宋" w:hint="eastAsia"/>
                <w:kern w:val="0"/>
                <w:sz w:val="24"/>
              </w:rPr>
              <w:t>产品募集方式</w:t>
            </w:r>
          </w:p>
        </w:tc>
        <w:tc>
          <w:tcPr>
            <w:tcW w:w="5834"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Style w:val="a2"/>
                <w:rFonts w:ascii="仿宋" w:eastAsia="仿宋" w:hAnsi="仿宋" w:cs="等线"/>
                <w:color w:val="0000FF"/>
                <w:sz w:val="24"/>
                <w:szCs w:val="24"/>
              </w:rPr>
            </w:pPr>
            <w:r>
              <w:rPr>
                <w:rFonts w:ascii="仿宋" w:eastAsia="仿宋" w:hAnsi="仿宋" w:cs="等线" w:hint="eastAsia"/>
                <w:kern w:val="0"/>
                <w:sz w:val="24"/>
              </w:rPr>
              <w:t>公募</w:t>
            </w:r>
          </w:p>
        </w:tc>
      </w:tr>
      <w:tr>
        <w:tblPrEx>
          <w:tblW w:w="9089" w:type="dxa"/>
          <w:tblLayout w:type="fixed"/>
          <w:tblLook w:val="04A0"/>
        </w:tblPrEx>
        <w:trPr>
          <w:trHeight w:val="140"/>
        </w:trPr>
        <w:tc>
          <w:tcPr>
            <w:tcW w:w="3255"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Fonts w:ascii="仿宋" w:eastAsia="仿宋" w:hAnsi="仿宋"/>
                <w:kern w:val="0"/>
                <w:sz w:val="24"/>
              </w:rPr>
            </w:pPr>
            <w:r>
              <w:rPr>
                <w:rFonts w:ascii="仿宋" w:eastAsia="仿宋" w:hAnsi="仿宋" w:hint="eastAsia"/>
                <w:kern w:val="0"/>
                <w:sz w:val="24"/>
              </w:rPr>
              <w:t>产品运作模式</w:t>
            </w:r>
          </w:p>
        </w:tc>
        <w:tc>
          <w:tcPr>
            <w:tcW w:w="5834"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Style w:val="a2"/>
                <w:rFonts w:ascii="仿宋" w:eastAsia="仿宋" w:hAnsi="仿宋" w:cs="等线"/>
                <w:color w:val="0000FF"/>
                <w:sz w:val="24"/>
                <w:szCs w:val="24"/>
              </w:rPr>
            </w:pPr>
            <w:r>
              <w:rPr>
                <w:rFonts w:ascii="仿宋" w:eastAsia="仿宋" w:hAnsi="仿宋" w:cs="等线" w:hint="eastAsia"/>
                <w:kern w:val="0"/>
                <w:sz w:val="24"/>
              </w:rPr>
              <w:t>开放式净值型</w:t>
            </w:r>
          </w:p>
        </w:tc>
      </w:tr>
      <w:tr>
        <w:tblPrEx>
          <w:tblW w:w="9089" w:type="dxa"/>
          <w:tblLayout w:type="fixed"/>
          <w:tblLook w:val="04A0"/>
        </w:tblPrEx>
        <w:trPr>
          <w:trHeight w:val="88"/>
        </w:trPr>
        <w:tc>
          <w:tcPr>
            <w:tcW w:w="3255"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Fonts w:ascii="仿宋" w:eastAsia="仿宋" w:hAnsi="仿宋"/>
                <w:kern w:val="0"/>
                <w:sz w:val="24"/>
              </w:rPr>
            </w:pPr>
            <w:r>
              <w:rPr>
                <w:rFonts w:ascii="仿宋" w:eastAsia="仿宋" w:hAnsi="仿宋" w:hint="eastAsia"/>
                <w:kern w:val="0"/>
                <w:sz w:val="24"/>
              </w:rPr>
              <w:t>产品投资性质</w:t>
            </w:r>
          </w:p>
        </w:tc>
        <w:tc>
          <w:tcPr>
            <w:tcW w:w="5834"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Style w:val="a2"/>
                <w:rFonts w:ascii="仿宋" w:eastAsia="仿宋" w:hAnsi="仿宋" w:cs="等线"/>
                <w:color w:val="0000FF"/>
                <w:sz w:val="24"/>
                <w:szCs w:val="24"/>
              </w:rPr>
            </w:pPr>
            <w:r>
              <w:rPr>
                <w:rFonts w:ascii="仿宋" w:eastAsia="仿宋" w:hAnsi="仿宋" w:cs="等线" w:hint="eastAsia"/>
                <w:kern w:val="0"/>
                <w:sz w:val="24"/>
              </w:rPr>
              <w:t>固定收益类</w:t>
            </w:r>
          </w:p>
        </w:tc>
      </w:tr>
      <w:tr>
        <w:tblPrEx>
          <w:tblW w:w="9089" w:type="dxa"/>
          <w:tblLayout w:type="fixed"/>
          <w:tblLook w:val="04A0"/>
        </w:tblPrEx>
        <w:trPr>
          <w:trHeight w:val="56"/>
        </w:trPr>
        <w:tc>
          <w:tcPr>
            <w:tcW w:w="3255"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Fonts w:ascii="仿宋" w:eastAsia="仿宋" w:hAnsi="仿宋"/>
                <w:kern w:val="0"/>
                <w:sz w:val="24"/>
              </w:rPr>
            </w:pPr>
            <w:r>
              <w:rPr>
                <w:rFonts w:ascii="仿宋" w:eastAsia="仿宋" w:hAnsi="仿宋" w:hint="eastAsia"/>
                <w:kern w:val="0"/>
                <w:sz w:val="24"/>
              </w:rPr>
              <w:t>业绩比较基准（%）</w:t>
            </w:r>
          </w:p>
        </w:tc>
        <w:tc>
          <w:tcPr>
            <w:tcW w:w="5834"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Style w:val="a2"/>
                <w:rFonts w:ascii="仿宋" w:eastAsia="仿宋" w:hAnsi="仿宋"/>
                <w:color w:val="0000FF"/>
                <w:sz w:val="24"/>
                <w:szCs w:val="24"/>
              </w:rPr>
            </w:pPr>
            <w:r>
              <w:rPr>
                <w:rStyle w:val="a2"/>
                <w:rFonts w:ascii="仿宋" w:eastAsia="仿宋" w:hAnsi="仿宋"/>
                <w:sz w:val="24"/>
                <w:szCs w:val="24"/>
              </w:rPr>
              <w:t>-</w:t>
            </w:r>
          </w:p>
        </w:tc>
      </w:tr>
      <w:tr>
        <w:tblPrEx>
          <w:tblW w:w="9089" w:type="dxa"/>
          <w:tblLayout w:type="fixed"/>
          <w:tblLook w:val="04A0"/>
        </w:tblPrEx>
        <w:trPr>
          <w:trHeight w:val="218"/>
        </w:trPr>
        <w:tc>
          <w:tcPr>
            <w:tcW w:w="3255"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Fonts w:ascii="仿宋" w:eastAsia="仿宋" w:hAnsi="仿宋"/>
                <w:sz w:val="24"/>
              </w:rPr>
            </w:pPr>
            <w:r>
              <w:rPr>
                <w:rFonts w:ascii="仿宋" w:eastAsia="仿宋" w:hAnsi="仿宋" w:hint="eastAsia"/>
                <w:kern w:val="0"/>
                <w:sz w:val="24"/>
              </w:rPr>
              <w:t>报告期末产品规模（元）</w:t>
            </w:r>
          </w:p>
        </w:tc>
        <w:tc>
          <w:tcPr>
            <w:tcW w:w="5834"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Style w:val="a2"/>
                <w:rFonts w:ascii="仿宋" w:eastAsia="仿宋" w:hAnsi="仿宋" w:cs="等线"/>
                <w:color w:val="0000FF"/>
                <w:sz w:val="24"/>
                <w:szCs w:val="24"/>
              </w:rPr>
            </w:pPr>
            <w:r>
              <w:rPr>
                <w:rFonts w:ascii="仿宋" w:eastAsia="仿宋" w:hAnsi="仿宋" w:cs="等线" w:hint="eastAsia"/>
                <w:kern w:val="0"/>
                <w:sz w:val="24"/>
              </w:rPr>
              <w:t>12,880,481.17</w:t>
            </w:r>
          </w:p>
        </w:tc>
      </w:tr>
      <w:tr>
        <w:tblPrEx>
          <w:tblW w:w="9089" w:type="dxa"/>
          <w:tblLayout w:type="fixed"/>
          <w:tblLook w:val="04A0"/>
        </w:tblPrEx>
        <w:trPr>
          <w:trHeight w:val="116"/>
        </w:trPr>
        <w:tc>
          <w:tcPr>
            <w:tcW w:w="3255"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Fonts w:ascii="仿宋" w:eastAsia="仿宋" w:hAnsi="仿宋"/>
                <w:sz w:val="24"/>
              </w:rPr>
            </w:pPr>
            <w:r>
              <w:rPr>
                <w:rFonts w:ascii="仿宋" w:eastAsia="仿宋" w:hAnsi="仿宋" w:hint="eastAsia"/>
                <w:kern w:val="0"/>
                <w:sz w:val="24"/>
              </w:rPr>
              <w:t>杠杆水平（%）</w:t>
            </w:r>
          </w:p>
        </w:tc>
        <w:tc>
          <w:tcPr>
            <w:tcW w:w="5834"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Style w:val="a2"/>
                <w:rFonts w:ascii="仿宋" w:eastAsia="仿宋" w:hAnsi="仿宋" w:cs="等线"/>
                <w:color w:val="0000FF"/>
                <w:sz w:val="24"/>
                <w:szCs w:val="24"/>
              </w:rPr>
            </w:pPr>
            <w:r>
              <w:rPr>
                <w:rFonts w:ascii="仿宋" w:eastAsia="仿宋" w:hAnsi="仿宋" w:cs="等线" w:hint="eastAsia"/>
                <w:kern w:val="0"/>
                <w:sz w:val="24"/>
              </w:rPr>
              <w:t>100.02</w:t>
            </w:r>
          </w:p>
        </w:tc>
      </w:tr>
      <w:tr>
        <w:tblPrEx>
          <w:tblW w:w="9089" w:type="dxa"/>
          <w:tblLayout w:type="fixed"/>
          <w:tblLook w:val="04A0"/>
        </w:tblPrEx>
        <w:trPr>
          <w:trHeight w:val="78"/>
        </w:trPr>
        <w:tc>
          <w:tcPr>
            <w:tcW w:w="3255"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Fonts w:ascii="仿宋" w:eastAsia="仿宋" w:hAnsi="仿宋"/>
                <w:kern w:val="0"/>
                <w:sz w:val="24"/>
              </w:rPr>
            </w:pPr>
            <w:r>
              <w:rPr>
                <w:rFonts w:ascii="仿宋" w:eastAsia="仿宋" w:hAnsi="仿宋" w:hint="eastAsia"/>
                <w:kern w:val="0"/>
                <w:sz w:val="24"/>
              </w:rPr>
              <w:t>风险等级</w:t>
            </w:r>
          </w:p>
        </w:tc>
        <w:tc>
          <w:tcPr>
            <w:tcW w:w="5834"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Style w:val="a2"/>
                <w:rFonts w:ascii="仿宋" w:eastAsia="仿宋" w:hAnsi="仿宋" w:cs="等线"/>
                <w:color w:val="0000FF"/>
                <w:sz w:val="24"/>
                <w:szCs w:val="24"/>
              </w:rPr>
            </w:pPr>
            <w:r>
              <w:rPr>
                <w:rFonts w:ascii="仿宋" w:eastAsia="仿宋" w:hAnsi="仿宋" w:cs="等线" w:hint="eastAsia"/>
                <w:kern w:val="0"/>
                <w:sz w:val="24"/>
              </w:rPr>
              <w:t>一级（低）</w:t>
            </w:r>
          </w:p>
        </w:tc>
      </w:tr>
      <w:tr>
        <w:tblPrEx>
          <w:tblW w:w="9089" w:type="dxa"/>
          <w:tblLayout w:type="fixed"/>
          <w:tblLook w:val="04A0"/>
        </w:tblPrEx>
        <w:trPr>
          <w:trHeight w:val="56"/>
        </w:trPr>
        <w:tc>
          <w:tcPr>
            <w:tcW w:w="3255"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Fonts w:ascii="仿宋" w:eastAsia="仿宋" w:hAnsi="仿宋"/>
                <w:sz w:val="24"/>
              </w:rPr>
            </w:pPr>
            <w:r>
              <w:rPr>
                <w:rFonts w:ascii="仿宋" w:eastAsia="仿宋" w:hAnsi="仿宋" w:hint="eastAsia"/>
                <w:kern w:val="0"/>
                <w:sz w:val="24"/>
              </w:rPr>
              <w:t>产品管理人</w:t>
            </w:r>
          </w:p>
        </w:tc>
        <w:tc>
          <w:tcPr>
            <w:tcW w:w="5834"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Style w:val="a2"/>
                <w:rFonts w:ascii="仿宋" w:eastAsia="仿宋" w:hAnsi="仿宋" w:cs="等线"/>
                <w:color w:val="0000FF"/>
                <w:sz w:val="24"/>
                <w:szCs w:val="24"/>
              </w:rPr>
            </w:pPr>
            <w:r>
              <w:rPr>
                <w:rFonts w:ascii="仿宋" w:eastAsia="仿宋" w:hAnsi="仿宋" w:cs="等线" w:hint="eastAsia"/>
                <w:kern w:val="0"/>
                <w:sz w:val="24"/>
              </w:rPr>
              <w:t>杭银理财有限责任公司</w:t>
            </w:r>
          </w:p>
        </w:tc>
      </w:tr>
      <w:tr>
        <w:tblPrEx>
          <w:tblW w:w="9089" w:type="dxa"/>
          <w:tblLayout w:type="fixed"/>
          <w:tblLook w:val="04A0"/>
        </w:tblPrEx>
        <w:trPr>
          <w:trHeight w:val="56"/>
        </w:trPr>
        <w:tc>
          <w:tcPr>
            <w:tcW w:w="3255"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Fonts w:ascii="仿宋" w:eastAsia="仿宋" w:hAnsi="仿宋"/>
                <w:sz w:val="24"/>
              </w:rPr>
            </w:pPr>
            <w:r>
              <w:rPr>
                <w:rFonts w:ascii="仿宋" w:eastAsia="仿宋" w:hAnsi="仿宋" w:hint="eastAsia"/>
                <w:kern w:val="0"/>
                <w:sz w:val="24"/>
              </w:rPr>
              <w:t>产品托管人</w:t>
            </w:r>
          </w:p>
        </w:tc>
        <w:tc>
          <w:tcPr>
            <w:tcW w:w="5834"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Style w:val="a2"/>
                <w:rFonts w:ascii="仿宋" w:eastAsia="仿宋" w:hAnsi="仿宋" w:cs="等线"/>
                <w:color w:val="0000FF"/>
                <w:sz w:val="24"/>
                <w:szCs w:val="24"/>
              </w:rPr>
            </w:pPr>
            <w:r>
              <w:rPr>
                <w:rFonts w:ascii="仿宋" w:eastAsia="仿宋" w:hAnsi="仿宋" w:cs="等线" w:hint="eastAsia"/>
                <w:kern w:val="0"/>
                <w:sz w:val="24"/>
              </w:rPr>
              <w:t>杭州银行股份有限公司</w:t>
            </w:r>
          </w:p>
        </w:tc>
      </w:tr>
    </w:tbl>
    <w:p w:rsidR="00E3567D">
      <w:pPr>
        <w:adjustRightInd w:val="0"/>
        <w:snapToGrid w:val="0"/>
        <w:spacing w:line="360" w:lineRule="exact"/>
        <w:rPr>
          <w:rFonts w:ascii="仿宋" w:eastAsia="仿宋" w:hAnsi="仿宋"/>
          <w:color w:val="000000"/>
          <w:sz w:val="24"/>
        </w:rPr>
      </w:pPr>
      <w:r>
        <w:rPr>
          <w:rFonts w:ascii="仿宋" w:eastAsia="仿宋" w:hAnsi="仿宋" w:hint="eastAsia"/>
          <w:sz w:val="24"/>
        </w:rPr>
        <w:t>*杠杆水平=总资产/理财产品净资产，理财产品净资产=总资产-总负债</w:t>
      </w:r>
    </w:p>
    <w:p w:rsidR="00E3567D">
      <w:pPr>
        <w:adjustRightInd w:val="0"/>
        <w:snapToGrid w:val="0"/>
        <w:spacing w:line="360" w:lineRule="exact"/>
        <w:rPr>
          <w:rFonts w:ascii="仿宋" w:eastAsia="仿宋" w:hAnsi="仿宋"/>
          <w:color w:val="000000"/>
          <w:sz w:val="24"/>
        </w:rPr>
      </w:pPr>
    </w:p>
    <w:p w:rsidR="00E3567D">
      <w:pPr>
        <w:pStyle w:val="Heading2"/>
        <w:adjustRightInd w:val="0"/>
        <w:snapToGrid w:val="0"/>
        <w:spacing w:line="560" w:lineRule="exact"/>
        <w:jc w:val="center"/>
        <w:rPr>
          <w:rFonts w:ascii="仿宋" w:eastAsia="仿宋" w:hAnsi="仿宋"/>
          <w:sz w:val="24"/>
        </w:rPr>
      </w:pPr>
      <w:bookmarkStart w:id="4" w:name="_Toc2020064367"/>
      <w:r>
        <w:rPr>
          <w:rFonts w:ascii="仿宋" w:eastAsia="仿宋" w:hAnsi="仿宋" w:hint="eastAsia"/>
          <w:sz w:val="24"/>
        </w:rPr>
        <w:t>§3  主要财务指标和产品净值表现</w:t>
      </w:r>
      <w:bookmarkEnd w:id="4"/>
    </w:p>
    <w:p w:rsidR="00E3567D">
      <w:pPr>
        <w:adjustRightInd w:val="0"/>
        <w:snapToGrid w:val="0"/>
        <w:spacing w:line="440" w:lineRule="exact"/>
        <w:outlineLvl w:val="2"/>
        <w:rPr>
          <w:rFonts w:ascii="仿宋" w:eastAsia="仿宋" w:hAnsi="仿宋"/>
          <w:b/>
          <w:sz w:val="24"/>
        </w:rPr>
      </w:pPr>
      <w:bookmarkStart w:id="5" w:name="_Toc1652840746"/>
      <w:r>
        <w:rPr>
          <w:rFonts w:ascii="仿宋" w:eastAsia="仿宋" w:hAnsi="仿宋" w:hint="eastAsia"/>
          <w:b/>
          <w:sz w:val="24"/>
        </w:rPr>
        <w:t>3.1 主要财务指标和产品净值表现</w:t>
      </w:r>
      <w:bookmarkEnd w:id="5"/>
    </w:p>
    <w:p w:rsidR="00E3567D">
      <w:pPr>
        <w:adjustRightInd w:val="0"/>
        <w:snapToGrid w:val="0"/>
        <w:spacing w:line="440" w:lineRule="exact"/>
        <w:jc w:val="right"/>
        <w:rPr>
          <w:rFonts w:ascii="仿宋" w:eastAsia="仿宋" w:hAnsi="仿宋" w:cs="仿宋"/>
          <w:sz w:val="24"/>
        </w:rPr>
      </w:pPr>
      <w:r>
        <w:rPr>
          <w:rFonts w:ascii="仿宋" w:eastAsia="仿宋" w:hAnsi="仿宋" w:cs="仿宋" w:hint="eastAsia"/>
          <w:sz w:val="24"/>
        </w:rPr>
        <w:t>单位：元、份、元/份</w:t>
      </w:r>
    </w:p>
    <w:tbl>
      <w:tblPr>
        <w:tblW w:w="89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405"/>
        <w:gridCol w:w="1418"/>
        <w:gridCol w:w="758"/>
        <w:gridCol w:w="234"/>
        <w:gridCol w:w="992"/>
        <w:gridCol w:w="3119"/>
      </w:tblGrid>
      <w:tr>
        <w:tblPrEx>
          <w:tblW w:w="89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c>
          <w:tcPr>
            <w:tcW w:w="4581" w:type="dxa"/>
            <w:gridSpan w:val="3"/>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color w:val="000000"/>
                <w:kern w:val="0"/>
                <w:sz w:val="24"/>
              </w:rPr>
            </w:pPr>
            <w:r>
              <w:rPr>
                <w:rFonts w:ascii="仿宋" w:eastAsia="仿宋" w:hAnsi="仿宋" w:hint="eastAsia"/>
                <w:sz w:val="24"/>
              </w:rPr>
              <w:t>主要财务指标</w:t>
            </w:r>
          </w:p>
        </w:tc>
        <w:tc>
          <w:tcPr>
            <w:tcW w:w="4345" w:type="dxa"/>
            <w:gridSpan w:val="3"/>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color w:val="000000"/>
                <w:kern w:val="0"/>
                <w:sz w:val="24"/>
              </w:rPr>
            </w:pPr>
            <w:r>
              <w:rPr>
                <w:rFonts w:ascii="仿宋" w:eastAsia="仿宋" w:hAnsi="仿宋" w:hint="eastAsia"/>
                <w:color w:val="000000"/>
                <w:kern w:val="0"/>
                <w:sz w:val="24"/>
              </w:rPr>
              <w:t>报告期</w:t>
            </w:r>
          </w:p>
          <w:p w:rsidR="00E3567D">
            <w:pPr>
              <w:adjustRightInd w:val="0"/>
              <w:snapToGrid w:val="0"/>
              <w:jc w:val="center"/>
              <w:rPr>
                <w:rFonts w:ascii="仿宋" w:eastAsia="仿宋" w:hAnsi="仿宋"/>
                <w:color w:val="000000"/>
                <w:kern w:val="0"/>
                <w:sz w:val="24"/>
              </w:rPr>
            </w:pPr>
            <w:r>
              <w:rPr>
                <w:rFonts w:ascii="仿宋" w:eastAsia="仿宋" w:hAnsi="仿宋" w:hint="eastAsia"/>
                <w:color w:val="000000"/>
                <w:kern w:val="0"/>
                <w:sz w:val="24"/>
              </w:rPr>
              <w:t>（</w:t>
            </w:r>
            <w:r>
              <w:rPr>
                <w:rFonts w:ascii="仿宋" w:eastAsia="仿宋" w:hAnsi="仿宋" w:cs="仿宋"/>
                <w:color w:val="000000"/>
                <w:sz w:val="24"/>
              </w:rPr>
              <w:t>2024年10月1日</w:t>
            </w:r>
            <w:r>
              <w:rPr>
                <w:rFonts w:ascii="仿宋" w:eastAsia="仿宋" w:hAnsi="仿宋" w:hint="eastAsia"/>
                <w:color w:val="000000"/>
                <w:kern w:val="0"/>
                <w:sz w:val="24"/>
              </w:rPr>
              <w:t>-</w:t>
            </w:r>
            <w:r>
              <w:rPr>
                <w:rFonts w:ascii="仿宋" w:eastAsia="仿宋" w:hAnsi="仿宋" w:cs="仿宋"/>
                <w:color w:val="000000"/>
                <w:sz w:val="24"/>
              </w:rPr>
              <w:t>2024年12月31日</w:t>
            </w:r>
            <w:r>
              <w:rPr>
                <w:rFonts w:ascii="仿宋" w:eastAsia="仿宋" w:hAnsi="仿宋" w:hint="eastAsia"/>
                <w:color w:val="000000"/>
                <w:kern w:val="0"/>
                <w:sz w:val="24"/>
              </w:rPr>
              <w:t>）</w:t>
            </w:r>
          </w:p>
        </w:tc>
      </w:tr>
      <w:tr>
        <w:tblPrEx>
          <w:tblW w:w="8926" w:type="dxa"/>
          <w:tblLayout w:type="fixed"/>
          <w:tblLook w:val="04A0"/>
        </w:tblPrEx>
        <w:tc>
          <w:tcPr>
            <w:tcW w:w="4581" w:type="dxa"/>
            <w:gridSpan w:val="3"/>
            <w:tcBorders>
              <w:top w:val="single" w:sz="4" w:space="0" w:color="auto"/>
              <w:left w:val="single" w:sz="4" w:space="0" w:color="auto"/>
              <w:bottom w:val="single" w:sz="4" w:space="0" w:color="auto"/>
              <w:right w:val="single" w:sz="4" w:space="0" w:color="auto"/>
            </w:tcBorders>
          </w:tcPr>
          <w:p w:rsidR="00E3567D">
            <w:pPr>
              <w:adjustRightInd w:val="0"/>
              <w:snapToGrid w:val="0"/>
              <w:jc w:val="left"/>
              <w:rPr>
                <w:rStyle w:val="a2"/>
                <w:rFonts w:ascii="仿宋" w:eastAsia="仿宋" w:hAnsi="仿宋"/>
                <w:sz w:val="24"/>
                <w:szCs w:val="24"/>
              </w:rPr>
            </w:pPr>
            <w:r>
              <w:rPr>
                <w:rFonts w:ascii="仿宋" w:eastAsia="仿宋" w:hAnsi="仿宋" w:hint="eastAsia"/>
                <w:sz w:val="24"/>
              </w:rPr>
              <w:t>1.期末产品资产净值</w:t>
            </w:r>
          </w:p>
        </w:tc>
        <w:tc>
          <w:tcPr>
            <w:tcW w:w="4345" w:type="dxa"/>
            <w:gridSpan w:val="3"/>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right"/>
              <w:rPr>
                <w:rFonts w:ascii="仿宋" w:eastAsia="仿宋" w:hAnsi="仿宋"/>
                <w:sz w:val="24"/>
              </w:rPr>
            </w:pPr>
            <w:r>
              <w:rPr>
                <w:rFonts w:ascii="仿宋" w:eastAsia="仿宋" w:hAnsi="仿宋" w:hint="eastAsia"/>
                <w:kern w:val="0"/>
                <w:sz w:val="24"/>
              </w:rPr>
              <w:t>12,880,481.17</w:t>
            </w:r>
          </w:p>
        </w:tc>
      </w:tr>
      <w:tr>
        <w:tblPrEx>
          <w:tblW w:w="8926" w:type="dxa"/>
          <w:tblLayout w:type="fixed"/>
          <w:tblLook w:val="04A0"/>
        </w:tblPrEx>
        <w:tc>
          <w:tcPr>
            <w:tcW w:w="4581" w:type="dxa"/>
            <w:gridSpan w:val="3"/>
            <w:tcBorders>
              <w:top w:val="single" w:sz="4" w:space="0" w:color="auto"/>
              <w:left w:val="single" w:sz="4" w:space="0" w:color="auto"/>
              <w:bottom w:val="single" w:sz="4" w:space="0" w:color="auto"/>
              <w:right w:val="single" w:sz="4" w:space="0" w:color="auto"/>
            </w:tcBorders>
          </w:tcPr>
          <w:p w:rsidR="00E3567D">
            <w:pPr>
              <w:adjustRightInd w:val="0"/>
              <w:snapToGrid w:val="0"/>
              <w:jc w:val="left"/>
              <w:rPr>
                <w:rFonts w:ascii="仿宋" w:eastAsia="仿宋" w:hAnsi="仿宋"/>
                <w:sz w:val="24"/>
              </w:rPr>
            </w:pPr>
            <w:r>
              <w:rPr>
                <w:rFonts w:ascii="仿宋" w:eastAsia="仿宋" w:hAnsi="仿宋" w:hint="eastAsia"/>
                <w:sz w:val="24"/>
              </w:rPr>
              <w:t>2.期末产品总份额</w:t>
            </w:r>
          </w:p>
        </w:tc>
        <w:tc>
          <w:tcPr>
            <w:tcW w:w="4345" w:type="dxa"/>
            <w:gridSpan w:val="3"/>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right"/>
              <w:rPr>
                <w:rFonts w:ascii="仿宋" w:eastAsia="仿宋" w:hAnsi="仿宋"/>
                <w:kern w:val="0"/>
                <w:sz w:val="24"/>
              </w:rPr>
            </w:pPr>
            <w:r>
              <w:rPr>
                <w:rFonts w:ascii="仿宋" w:eastAsia="仿宋" w:hAnsi="仿宋" w:hint="eastAsia"/>
                <w:kern w:val="0"/>
                <w:sz w:val="24"/>
              </w:rPr>
              <w:t>12,880,481.17</w:t>
            </w:r>
          </w:p>
        </w:tc>
      </w:tr>
      <w:tr>
        <w:tblPrEx>
          <w:tblW w:w="8926" w:type="dxa"/>
          <w:tblLayout w:type="fixed"/>
          <w:tblLook w:val="04A0"/>
        </w:tblPrEx>
        <w:trPr>
          <w:trHeight w:val="158"/>
        </w:trPr>
        <w:tc>
          <w:tcPr>
            <w:tcW w:w="4581" w:type="dxa"/>
            <w:gridSpan w:val="3"/>
            <w:tcBorders>
              <w:top w:val="single" w:sz="4" w:space="0" w:color="auto"/>
              <w:left w:val="single" w:sz="4" w:space="0" w:color="auto"/>
              <w:bottom w:val="single" w:sz="4" w:space="0" w:color="auto"/>
              <w:right w:val="single" w:sz="4" w:space="0" w:color="auto"/>
            </w:tcBorders>
          </w:tcPr>
          <w:p w:rsidR="00E3567D">
            <w:pPr>
              <w:adjustRightInd w:val="0"/>
              <w:snapToGrid w:val="0"/>
              <w:jc w:val="left"/>
              <w:rPr>
                <w:rStyle w:val="a2"/>
                <w:rFonts w:ascii="仿宋" w:eastAsia="仿宋" w:hAnsi="仿宋"/>
                <w:sz w:val="24"/>
                <w:szCs w:val="24"/>
              </w:rPr>
            </w:pPr>
            <w:r>
              <w:rPr>
                <w:rFonts w:ascii="仿宋" w:eastAsia="仿宋" w:hAnsi="仿宋" w:hint="eastAsia"/>
                <w:sz w:val="24"/>
              </w:rPr>
              <w:t>3.期末产品份额单位净值</w:t>
            </w:r>
          </w:p>
        </w:tc>
        <w:tc>
          <w:tcPr>
            <w:tcW w:w="4345" w:type="dxa"/>
            <w:gridSpan w:val="3"/>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right"/>
              <w:rPr>
                <w:rFonts w:ascii="仿宋" w:eastAsia="仿宋" w:hAnsi="仿宋"/>
                <w:sz w:val="24"/>
              </w:rPr>
            </w:pPr>
            <w:r>
              <w:rPr>
                <w:rFonts w:ascii="仿宋" w:eastAsia="仿宋" w:hAnsi="仿宋" w:hint="eastAsia"/>
                <w:kern w:val="0"/>
                <w:sz w:val="24"/>
              </w:rPr>
              <w:t>1.0000</w:t>
            </w:r>
          </w:p>
        </w:tc>
      </w:tr>
      <w:tr>
        <w:tblPrEx>
          <w:tblW w:w="8926" w:type="dxa"/>
          <w:tblLayout w:type="fixed"/>
          <w:tblLook w:val="04A0"/>
        </w:tblPrEx>
        <w:trPr>
          <w:trHeight w:val="158"/>
        </w:trPr>
        <w:tc>
          <w:tcPr>
            <w:tcW w:w="4581" w:type="dxa"/>
            <w:gridSpan w:val="3"/>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left"/>
              <w:rPr>
                <w:rFonts w:ascii="仿宋" w:eastAsia="仿宋" w:hAnsi="仿宋"/>
                <w:sz w:val="24"/>
              </w:rPr>
            </w:pPr>
            <w:r>
              <w:rPr>
                <w:rFonts w:ascii="仿宋" w:eastAsia="仿宋" w:hAnsi="仿宋" w:cs="仿宋" w:hint="eastAsia"/>
                <w:sz w:val="24"/>
              </w:rPr>
              <w:t>4.期末产品份额累计净值</w:t>
            </w:r>
          </w:p>
        </w:tc>
        <w:tc>
          <w:tcPr>
            <w:tcW w:w="4345" w:type="dxa"/>
            <w:gridSpan w:val="3"/>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right"/>
              <w:rPr>
                <w:rFonts w:ascii="仿宋" w:eastAsia="仿宋" w:hAnsi="仿宋"/>
                <w:kern w:val="0"/>
                <w:sz w:val="24"/>
              </w:rPr>
            </w:pPr>
            <w:r>
              <w:rPr>
                <w:rFonts w:ascii="仿宋" w:eastAsia="仿宋" w:hAnsi="仿宋" w:cs="仿宋" w:hint="eastAsia"/>
                <w:kern w:val="0"/>
                <w:sz w:val="24"/>
              </w:rPr>
              <w:t>1.0000</w:t>
            </w:r>
          </w:p>
        </w:tc>
      </w:tr>
      <w:tr>
        <w:tblPrEx>
          <w:tblW w:w="8926" w:type="dxa"/>
          <w:tblLayout w:type="fixed"/>
          <w:tblLook w:val="04A0"/>
        </w:tblPrEx>
        <w:trPr>
          <w:trHeight w:val="158"/>
        </w:trPr>
        <w:tc>
          <w:tcPr>
            <w:tcW w:w="8926" w:type="dxa"/>
            <w:gridSpan w:val="6"/>
            <w:tcBorders>
              <w:top w:val="single" w:sz="4" w:space="0" w:color="auto"/>
              <w:left w:val="single" w:sz="4" w:space="0" w:color="auto"/>
              <w:bottom w:val="single" w:sz="4" w:space="0" w:color="auto"/>
              <w:right w:val="single" w:sz="4" w:space="0" w:color="auto"/>
            </w:tcBorders>
          </w:tcPr>
          <w:p w:rsidR="00E3567D">
            <w:pPr>
              <w:adjustRightInd w:val="0"/>
              <w:snapToGrid w:val="0"/>
              <w:jc w:val="center"/>
              <w:rPr>
                <w:rFonts w:ascii="仿宋" w:eastAsia="仿宋" w:hAnsi="仿宋"/>
                <w:color w:val="0000FF"/>
                <w:sz w:val="24"/>
              </w:rPr>
            </w:pPr>
            <w:r>
              <w:rPr>
                <w:rFonts w:ascii="仿宋" w:eastAsia="仿宋" w:hAnsi="仿宋" w:hint="eastAsia"/>
                <w:kern w:val="0"/>
                <w:sz w:val="24"/>
              </w:rPr>
              <w:t>报告期末下属子产品相关信息披露</w:t>
            </w:r>
          </w:p>
        </w:tc>
      </w:tr>
      <w:tr>
        <w:tblPrEx>
          <w:tblW w:w="8926" w:type="dxa"/>
          <w:tblLayout w:type="fixed"/>
          <w:tblLook w:val="04A0"/>
        </w:tblPrEx>
        <w:trPr>
          <w:trHeight w:val="595"/>
        </w:trPr>
        <w:tc>
          <w:tcPr>
            <w:tcW w:w="2405" w:type="dxa"/>
            <w:tcBorders>
              <w:top w:val="single" w:sz="4" w:space="0" w:color="auto"/>
              <w:left w:val="single" w:sz="4" w:space="0" w:color="auto"/>
              <w:bottom w:val="single" w:sz="4" w:space="0" w:color="auto"/>
              <w:right w:val="single" w:sz="4" w:space="0" w:color="auto"/>
            </w:tcBorders>
            <w:vAlign w:val="center"/>
          </w:tcPr>
          <w:p w:rsidR="00E3567D">
            <w:pPr>
              <w:pStyle w:val="NormalWeb"/>
              <w:adjustRightInd w:val="0"/>
              <w:snapToGrid w:val="0"/>
              <w:spacing w:before="0" w:beforeAutospacing="0" w:after="0" w:afterAutospacing="0"/>
              <w:jc w:val="center"/>
              <w:rPr>
                <w:rFonts w:ascii="仿宋" w:eastAsia="仿宋" w:hAnsi="仿宋" w:cs="等线"/>
                <w:color w:val="000000"/>
                <w:szCs w:val="24"/>
              </w:rPr>
            </w:pPr>
            <w:r>
              <w:rPr>
                <w:rFonts w:ascii="仿宋" w:eastAsia="仿宋" w:hAnsi="仿宋" w:cs="等线" w:hint="eastAsia"/>
                <w:color w:val="000000"/>
                <w:szCs w:val="24"/>
              </w:rPr>
              <w:t>子产品名称</w:t>
            </w:r>
          </w:p>
        </w:tc>
        <w:tc>
          <w:tcPr>
            <w:tcW w:w="1418"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kern w:val="0"/>
                <w:sz w:val="24"/>
              </w:rPr>
            </w:pPr>
            <w:r>
              <w:rPr>
                <w:rFonts w:ascii="仿宋" w:eastAsia="仿宋" w:hAnsi="仿宋" w:hint="eastAsia"/>
                <w:kern w:val="0"/>
                <w:sz w:val="24"/>
              </w:rPr>
              <w:t>子产品代码</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kern w:val="0"/>
                <w:sz w:val="24"/>
              </w:rPr>
            </w:pPr>
            <w:r>
              <w:rPr>
                <w:rFonts w:ascii="仿宋" w:eastAsia="仿宋" w:hAnsi="仿宋" w:hint="eastAsia"/>
                <w:kern w:val="0"/>
                <w:sz w:val="24"/>
              </w:rPr>
              <w:t>份额</w:t>
            </w:r>
          </w:p>
          <w:p w:rsidR="00E3567D">
            <w:pPr>
              <w:adjustRightInd w:val="0"/>
              <w:snapToGrid w:val="0"/>
              <w:jc w:val="center"/>
              <w:rPr>
                <w:rFonts w:ascii="仿宋" w:eastAsia="仿宋" w:hAnsi="仿宋"/>
                <w:kern w:val="0"/>
                <w:sz w:val="24"/>
              </w:rPr>
            </w:pPr>
            <w:r>
              <w:rPr>
                <w:rFonts w:ascii="仿宋" w:eastAsia="仿宋" w:hAnsi="仿宋" w:hint="eastAsia"/>
                <w:kern w:val="0"/>
                <w:sz w:val="24"/>
              </w:rPr>
              <w:t>净值</w:t>
            </w:r>
          </w:p>
        </w:tc>
        <w:tc>
          <w:tcPr>
            <w:tcW w:w="992"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kern w:val="0"/>
                <w:sz w:val="24"/>
              </w:rPr>
            </w:pPr>
            <w:r>
              <w:rPr>
                <w:rFonts w:ascii="仿宋" w:eastAsia="仿宋" w:hAnsi="仿宋" w:cs="仿宋" w:hint="eastAsia"/>
                <w:kern w:val="0"/>
                <w:sz w:val="24"/>
              </w:rPr>
              <w:t>份额累计净值</w:t>
            </w:r>
          </w:p>
        </w:tc>
        <w:tc>
          <w:tcPr>
            <w:tcW w:w="3119"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kern w:val="0"/>
                <w:sz w:val="24"/>
              </w:rPr>
            </w:pPr>
            <w:r>
              <w:rPr>
                <w:rFonts w:ascii="仿宋" w:eastAsia="仿宋" w:hAnsi="仿宋" w:hint="eastAsia"/>
                <w:kern w:val="0"/>
                <w:sz w:val="24"/>
              </w:rPr>
              <w:t>资产净值</w:t>
            </w:r>
          </w:p>
        </w:tc>
      </w:tr>
      <w:tr>
        <w:tblPrEx>
          <w:tblW w:w="8926" w:type="dxa"/>
          <w:tblLayout w:type="fixed"/>
          <w:tblLook w:val="04A0"/>
        </w:tblPrEx>
        <w:trPr>
          <w:trHeight w:val="226"/>
        </w:trPr>
        <w:tc>
          <w:tcPr>
            <w:tcW w:w="2405" w:type="dxa"/>
            <w:tcBorders>
              <w:top w:val="single" w:sz="4" w:space="0" w:color="auto"/>
              <w:left w:val="single" w:sz="4" w:space="0" w:color="auto"/>
              <w:bottom w:val="single" w:sz="4" w:space="0" w:color="auto"/>
              <w:right w:val="single" w:sz="4" w:space="0" w:color="auto"/>
            </w:tcBorders>
          </w:tcPr>
          <w:p w:rsidR="00E3567D">
            <w:pPr>
              <w:pStyle w:val="NormalWeb"/>
              <w:adjustRightInd w:val="0"/>
              <w:snapToGrid w:val="0"/>
              <w:spacing w:before="0" w:beforeAutospacing="0" w:after="0" w:afterAutospacing="0"/>
              <w:jc w:val="center"/>
              <w:rPr>
                <w:rFonts w:ascii="仿宋" w:eastAsia="仿宋" w:hAnsi="仿宋" w:cs="等线"/>
                <w:color w:val="000000"/>
                <w:szCs w:val="24"/>
              </w:rPr>
            </w:pPr>
            <w:r>
              <w:rPr>
                <w:rFonts w:ascii="仿宋" w:eastAsia="仿宋" w:hAnsi="仿宋" w:cs="等线" w:hint="eastAsia"/>
                <w:color w:val="000000"/>
                <w:szCs w:val="24"/>
              </w:rPr>
              <w:t>金钱包13号A款</w:t>
            </w:r>
          </w:p>
        </w:tc>
        <w:tc>
          <w:tcPr>
            <w:tcW w:w="1418" w:type="dxa"/>
            <w:tcBorders>
              <w:top w:val="single" w:sz="4" w:space="0" w:color="auto"/>
              <w:left w:val="single" w:sz="4" w:space="0" w:color="auto"/>
              <w:bottom w:val="single" w:sz="4" w:space="0" w:color="auto"/>
              <w:right w:val="single" w:sz="4" w:space="0" w:color="auto"/>
            </w:tcBorders>
            <w:vAlign w:val="center"/>
          </w:tcPr>
          <w:p w:rsidR="00E3567D">
            <w:pPr>
              <w:pStyle w:val="NormalWeb"/>
              <w:adjustRightInd w:val="0"/>
              <w:snapToGrid w:val="0"/>
              <w:spacing w:before="0" w:beforeAutospacing="0" w:after="0" w:afterAutospacing="0"/>
              <w:jc w:val="center"/>
              <w:rPr>
                <w:rFonts w:ascii="仿宋" w:eastAsia="仿宋" w:hAnsi="仿宋"/>
                <w:color w:val="000000"/>
                <w:szCs w:val="24"/>
              </w:rPr>
            </w:pPr>
            <w:r>
              <w:rPr>
                <w:rFonts w:ascii="仿宋" w:eastAsia="仿宋" w:hAnsi="仿宋" w:hint="eastAsia"/>
                <w:color w:val="000000"/>
                <w:szCs w:val="24"/>
              </w:rPr>
              <w:t>JQB2313A</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E3567D">
            <w:pPr>
              <w:pStyle w:val="NormalWeb"/>
              <w:adjustRightInd w:val="0"/>
              <w:snapToGrid w:val="0"/>
              <w:spacing w:before="0" w:beforeAutospacing="0" w:after="0" w:afterAutospacing="0"/>
              <w:jc w:val="center"/>
              <w:rPr>
                <w:rFonts w:ascii="仿宋" w:eastAsia="仿宋" w:hAnsi="仿宋"/>
                <w:color w:val="000000"/>
                <w:szCs w:val="24"/>
              </w:rPr>
            </w:pPr>
            <w:r>
              <w:rPr>
                <w:rFonts w:ascii="仿宋" w:eastAsia="仿宋" w:hAnsi="仿宋" w:hint="eastAsia"/>
                <w:color w:val="000000"/>
                <w:szCs w:val="24"/>
              </w:rPr>
              <w:t>1.0000</w:t>
            </w:r>
          </w:p>
        </w:tc>
        <w:tc>
          <w:tcPr>
            <w:tcW w:w="992" w:type="dxa"/>
            <w:tcBorders>
              <w:top w:val="single" w:sz="4" w:space="0" w:color="auto"/>
              <w:left w:val="single" w:sz="4" w:space="0" w:color="auto"/>
              <w:bottom w:val="single" w:sz="4" w:space="0" w:color="auto"/>
              <w:right w:val="single" w:sz="4" w:space="0" w:color="auto"/>
            </w:tcBorders>
            <w:vAlign w:val="center"/>
          </w:tcPr>
          <w:p w:rsidR="00E3567D">
            <w:pPr>
              <w:pStyle w:val="NormalWeb"/>
              <w:adjustRightInd w:val="0"/>
              <w:snapToGrid w:val="0"/>
              <w:spacing w:before="0" w:beforeAutospacing="0" w:after="0" w:afterAutospacing="0"/>
              <w:jc w:val="center"/>
              <w:rPr>
                <w:rFonts w:ascii="仿宋" w:eastAsia="仿宋" w:hAnsi="仿宋"/>
                <w:color w:val="000000"/>
                <w:szCs w:val="24"/>
              </w:rPr>
            </w:pPr>
            <w:r>
              <w:rPr>
                <w:rFonts w:ascii="仿宋" w:eastAsia="仿宋" w:hAnsi="仿宋" w:cs="仿宋" w:hint="eastAsia"/>
                <w:color w:val="000000"/>
                <w:szCs w:val="24"/>
              </w:rPr>
              <w:t>1.0000</w:t>
            </w:r>
          </w:p>
        </w:tc>
        <w:tc>
          <w:tcPr>
            <w:tcW w:w="3119" w:type="dxa"/>
            <w:tcBorders>
              <w:top w:val="single" w:sz="4" w:space="0" w:color="auto"/>
              <w:left w:val="single" w:sz="4" w:space="0" w:color="auto"/>
              <w:bottom w:val="single" w:sz="4" w:space="0" w:color="auto"/>
              <w:right w:val="single" w:sz="4" w:space="0" w:color="auto"/>
            </w:tcBorders>
            <w:vAlign w:val="center"/>
          </w:tcPr>
          <w:p w:rsidR="00E3567D">
            <w:pPr>
              <w:pStyle w:val="NormalWeb"/>
              <w:adjustRightInd w:val="0"/>
              <w:snapToGrid w:val="0"/>
              <w:spacing w:before="0" w:beforeAutospacing="0" w:after="0" w:afterAutospacing="0"/>
              <w:jc w:val="center"/>
              <w:rPr>
                <w:rFonts w:ascii="仿宋" w:eastAsia="仿宋" w:hAnsi="仿宋"/>
                <w:color w:val="000000"/>
                <w:szCs w:val="24"/>
              </w:rPr>
            </w:pPr>
            <w:r>
              <w:rPr>
                <w:rFonts w:ascii="仿宋" w:eastAsia="仿宋" w:hAnsi="仿宋" w:hint="eastAsia"/>
                <w:color w:val="000000"/>
                <w:szCs w:val="24"/>
              </w:rPr>
              <w:t>10,162,002.09</w:t>
            </w:r>
          </w:p>
        </w:tc>
      </w:tr>
      <w:tr>
        <w:tblPrEx>
          <w:tblW w:w="8926" w:type="dxa"/>
          <w:tblLayout w:type="fixed"/>
          <w:tblLook w:val="04A0"/>
        </w:tblPrEx>
        <w:trPr>
          <w:trHeight w:val="226"/>
        </w:trPr>
        <w:tc>
          <w:tcPr>
            <w:tcW w:w="2405" w:type="dxa"/>
            <w:tcBorders>
              <w:top w:val="single" w:sz="4" w:space="0" w:color="auto"/>
              <w:left w:val="single" w:sz="4" w:space="0" w:color="auto"/>
              <w:bottom w:val="single" w:sz="4" w:space="0" w:color="auto"/>
              <w:right w:val="single" w:sz="4" w:space="0" w:color="auto"/>
            </w:tcBorders>
          </w:tcPr>
          <w:p w:rsidR="00E3567D">
            <w:pPr>
              <w:pStyle w:val="NormalWeb"/>
              <w:adjustRightInd w:val="0"/>
              <w:snapToGrid w:val="0"/>
              <w:spacing w:before="0" w:beforeAutospacing="0" w:after="0" w:afterAutospacing="0"/>
              <w:jc w:val="center"/>
              <w:rPr>
                <w:rFonts w:ascii="仿宋" w:eastAsia="仿宋" w:hAnsi="仿宋" w:cs="等线"/>
                <w:color w:val="000000"/>
                <w:szCs w:val="24"/>
              </w:rPr>
            </w:pPr>
            <w:r>
              <w:rPr>
                <w:rFonts w:ascii="仿宋" w:eastAsia="仿宋" w:hAnsi="仿宋" w:cs="等线" w:hint="eastAsia"/>
                <w:color w:val="000000"/>
                <w:szCs w:val="24"/>
              </w:rPr>
              <w:t>金钱包13号C款</w:t>
            </w:r>
          </w:p>
        </w:tc>
        <w:tc>
          <w:tcPr>
            <w:tcW w:w="1418" w:type="dxa"/>
            <w:tcBorders>
              <w:top w:val="single" w:sz="4" w:space="0" w:color="auto"/>
              <w:left w:val="single" w:sz="4" w:space="0" w:color="auto"/>
              <w:bottom w:val="single" w:sz="4" w:space="0" w:color="auto"/>
              <w:right w:val="single" w:sz="4" w:space="0" w:color="auto"/>
            </w:tcBorders>
            <w:vAlign w:val="center"/>
          </w:tcPr>
          <w:p w:rsidR="00E3567D">
            <w:pPr>
              <w:pStyle w:val="NormalWeb"/>
              <w:adjustRightInd w:val="0"/>
              <w:snapToGrid w:val="0"/>
              <w:spacing w:before="0" w:beforeAutospacing="0" w:after="0" w:afterAutospacing="0"/>
              <w:jc w:val="center"/>
              <w:rPr>
                <w:rFonts w:ascii="仿宋" w:eastAsia="仿宋" w:hAnsi="仿宋"/>
                <w:color w:val="000000"/>
                <w:szCs w:val="24"/>
              </w:rPr>
            </w:pPr>
            <w:r>
              <w:rPr>
                <w:rFonts w:ascii="仿宋" w:eastAsia="仿宋" w:hAnsi="仿宋" w:hint="eastAsia"/>
                <w:color w:val="000000"/>
                <w:szCs w:val="24"/>
              </w:rPr>
              <w:t>JQB2313C</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E3567D">
            <w:pPr>
              <w:pStyle w:val="NormalWeb"/>
              <w:adjustRightInd w:val="0"/>
              <w:snapToGrid w:val="0"/>
              <w:spacing w:before="0" w:beforeAutospacing="0" w:after="0" w:afterAutospacing="0"/>
              <w:jc w:val="center"/>
              <w:rPr>
                <w:rFonts w:ascii="仿宋" w:eastAsia="仿宋" w:hAnsi="仿宋"/>
                <w:color w:val="000000"/>
                <w:szCs w:val="24"/>
              </w:rPr>
            </w:pPr>
            <w:r>
              <w:rPr>
                <w:rFonts w:ascii="仿宋" w:eastAsia="仿宋" w:hAnsi="仿宋" w:hint="eastAsia"/>
                <w:color w:val="000000"/>
                <w:szCs w:val="24"/>
              </w:rPr>
              <w:t>1.0000</w:t>
            </w:r>
          </w:p>
        </w:tc>
        <w:tc>
          <w:tcPr>
            <w:tcW w:w="992" w:type="dxa"/>
            <w:tcBorders>
              <w:top w:val="single" w:sz="4" w:space="0" w:color="auto"/>
              <w:left w:val="single" w:sz="4" w:space="0" w:color="auto"/>
              <w:bottom w:val="single" w:sz="4" w:space="0" w:color="auto"/>
              <w:right w:val="single" w:sz="4" w:space="0" w:color="auto"/>
            </w:tcBorders>
            <w:vAlign w:val="center"/>
          </w:tcPr>
          <w:p w:rsidR="00E3567D">
            <w:pPr>
              <w:pStyle w:val="NormalWeb"/>
              <w:adjustRightInd w:val="0"/>
              <w:snapToGrid w:val="0"/>
              <w:spacing w:before="0" w:beforeAutospacing="0" w:after="0" w:afterAutospacing="0"/>
              <w:jc w:val="center"/>
              <w:rPr>
                <w:rFonts w:ascii="仿宋" w:eastAsia="仿宋" w:hAnsi="仿宋"/>
                <w:color w:val="000000"/>
                <w:szCs w:val="24"/>
              </w:rPr>
            </w:pPr>
            <w:r>
              <w:rPr>
                <w:rFonts w:ascii="仿宋" w:eastAsia="仿宋" w:hAnsi="仿宋" w:cs="仿宋" w:hint="eastAsia"/>
                <w:color w:val="000000"/>
                <w:szCs w:val="24"/>
              </w:rPr>
              <w:t>1.0000</w:t>
            </w:r>
          </w:p>
        </w:tc>
        <w:tc>
          <w:tcPr>
            <w:tcW w:w="3119" w:type="dxa"/>
            <w:tcBorders>
              <w:top w:val="single" w:sz="4" w:space="0" w:color="auto"/>
              <w:left w:val="single" w:sz="4" w:space="0" w:color="auto"/>
              <w:bottom w:val="single" w:sz="4" w:space="0" w:color="auto"/>
              <w:right w:val="single" w:sz="4" w:space="0" w:color="auto"/>
            </w:tcBorders>
            <w:vAlign w:val="center"/>
          </w:tcPr>
          <w:p w:rsidR="00E3567D">
            <w:pPr>
              <w:pStyle w:val="NormalWeb"/>
              <w:adjustRightInd w:val="0"/>
              <w:snapToGrid w:val="0"/>
              <w:spacing w:before="0" w:beforeAutospacing="0" w:after="0" w:afterAutospacing="0"/>
              <w:jc w:val="center"/>
              <w:rPr>
                <w:rFonts w:ascii="仿宋" w:eastAsia="仿宋" w:hAnsi="仿宋"/>
                <w:color w:val="000000"/>
                <w:szCs w:val="24"/>
              </w:rPr>
            </w:pPr>
            <w:r>
              <w:rPr>
                <w:rFonts w:ascii="仿宋" w:eastAsia="仿宋" w:hAnsi="仿宋" w:hint="eastAsia"/>
                <w:color w:val="000000"/>
                <w:szCs w:val="24"/>
              </w:rPr>
              <w:t>2,711,914.24</w:t>
            </w:r>
          </w:p>
        </w:tc>
      </w:tr>
      <w:tr>
        <w:tblPrEx>
          <w:tblW w:w="8926" w:type="dxa"/>
          <w:tblLayout w:type="fixed"/>
          <w:tblLook w:val="04A0"/>
        </w:tblPrEx>
        <w:trPr>
          <w:trHeight w:val="226"/>
        </w:trPr>
        <w:tc>
          <w:tcPr>
            <w:tcW w:w="2405" w:type="dxa"/>
            <w:tcBorders>
              <w:top w:val="single" w:sz="4" w:space="0" w:color="auto"/>
              <w:left w:val="single" w:sz="4" w:space="0" w:color="auto"/>
              <w:bottom w:val="single" w:sz="4" w:space="0" w:color="auto"/>
              <w:right w:val="single" w:sz="4" w:space="0" w:color="auto"/>
            </w:tcBorders>
          </w:tcPr>
          <w:p w:rsidR="00E3567D">
            <w:pPr>
              <w:pStyle w:val="NormalWeb"/>
              <w:adjustRightInd w:val="0"/>
              <w:snapToGrid w:val="0"/>
              <w:spacing w:before="0" w:beforeAutospacing="0" w:after="0" w:afterAutospacing="0"/>
              <w:jc w:val="center"/>
              <w:rPr>
                <w:rFonts w:ascii="仿宋" w:eastAsia="仿宋" w:hAnsi="仿宋" w:cs="等线"/>
                <w:color w:val="000000"/>
                <w:szCs w:val="24"/>
              </w:rPr>
            </w:pPr>
            <w:r>
              <w:rPr>
                <w:rFonts w:ascii="仿宋" w:eastAsia="仿宋" w:hAnsi="仿宋" w:cs="等线" w:hint="eastAsia"/>
                <w:color w:val="000000"/>
                <w:szCs w:val="24"/>
              </w:rPr>
              <w:t>金钱包13号T款</w:t>
            </w:r>
          </w:p>
        </w:tc>
        <w:tc>
          <w:tcPr>
            <w:tcW w:w="1418" w:type="dxa"/>
            <w:tcBorders>
              <w:top w:val="single" w:sz="4" w:space="0" w:color="auto"/>
              <w:left w:val="single" w:sz="4" w:space="0" w:color="auto"/>
              <w:bottom w:val="single" w:sz="4" w:space="0" w:color="auto"/>
              <w:right w:val="single" w:sz="4" w:space="0" w:color="auto"/>
            </w:tcBorders>
            <w:vAlign w:val="center"/>
          </w:tcPr>
          <w:p w:rsidR="00E3567D">
            <w:pPr>
              <w:pStyle w:val="NormalWeb"/>
              <w:adjustRightInd w:val="0"/>
              <w:snapToGrid w:val="0"/>
              <w:spacing w:before="0" w:beforeAutospacing="0" w:after="0" w:afterAutospacing="0"/>
              <w:jc w:val="center"/>
              <w:rPr>
                <w:rFonts w:ascii="仿宋" w:eastAsia="仿宋" w:hAnsi="仿宋"/>
                <w:color w:val="000000"/>
                <w:szCs w:val="24"/>
              </w:rPr>
            </w:pPr>
            <w:r>
              <w:rPr>
                <w:rFonts w:ascii="仿宋" w:eastAsia="仿宋" w:hAnsi="仿宋" w:hint="eastAsia"/>
                <w:color w:val="000000"/>
                <w:szCs w:val="24"/>
              </w:rPr>
              <w:t>JQB2313T</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E3567D">
            <w:pPr>
              <w:pStyle w:val="NormalWeb"/>
              <w:adjustRightInd w:val="0"/>
              <w:snapToGrid w:val="0"/>
              <w:spacing w:before="0" w:beforeAutospacing="0" w:after="0" w:afterAutospacing="0"/>
              <w:jc w:val="center"/>
              <w:rPr>
                <w:rFonts w:ascii="仿宋" w:eastAsia="仿宋" w:hAnsi="仿宋"/>
                <w:color w:val="000000"/>
                <w:szCs w:val="24"/>
              </w:rPr>
            </w:pPr>
            <w:r>
              <w:rPr>
                <w:rFonts w:ascii="仿宋" w:eastAsia="仿宋" w:hAnsi="仿宋" w:hint="eastAsia"/>
                <w:color w:val="000000"/>
                <w:szCs w:val="24"/>
              </w:rPr>
              <w:t>1.0000</w:t>
            </w:r>
          </w:p>
        </w:tc>
        <w:tc>
          <w:tcPr>
            <w:tcW w:w="992" w:type="dxa"/>
            <w:tcBorders>
              <w:top w:val="single" w:sz="4" w:space="0" w:color="auto"/>
              <w:left w:val="single" w:sz="4" w:space="0" w:color="auto"/>
              <w:bottom w:val="single" w:sz="4" w:space="0" w:color="auto"/>
              <w:right w:val="single" w:sz="4" w:space="0" w:color="auto"/>
            </w:tcBorders>
            <w:vAlign w:val="center"/>
          </w:tcPr>
          <w:p w:rsidR="00E3567D">
            <w:pPr>
              <w:pStyle w:val="NormalWeb"/>
              <w:adjustRightInd w:val="0"/>
              <w:snapToGrid w:val="0"/>
              <w:spacing w:before="0" w:beforeAutospacing="0" w:after="0" w:afterAutospacing="0"/>
              <w:jc w:val="center"/>
              <w:rPr>
                <w:rFonts w:ascii="仿宋" w:eastAsia="仿宋" w:hAnsi="仿宋"/>
                <w:color w:val="000000"/>
                <w:szCs w:val="24"/>
              </w:rPr>
            </w:pPr>
            <w:r>
              <w:rPr>
                <w:rFonts w:ascii="仿宋" w:eastAsia="仿宋" w:hAnsi="仿宋" w:cs="仿宋" w:hint="eastAsia"/>
                <w:color w:val="000000"/>
                <w:szCs w:val="24"/>
              </w:rPr>
              <w:t>1.0000</w:t>
            </w:r>
          </w:p>
        </w:tc>
        <w:tc>
          <w:tcPr>
            <w:tcW w:w="3119" w:type="dxa"/>
            <w:tcBorders>
              <w:top w:val="single" w:sz="4" w:space="0" w:color="auto"/>
              <w:left w:val="single" w:sz="4" w:space="0" w:color="auto"/>
              <w:bottom w:val="single" w:sz="4" w:space="0" w:color="auto"/>
              <w:right w:val="single" w:sz="4" w:space="0" w:color="auto"/>
            </w:tcBorders>
            <w:vAlign w:val="center"/>
          </w:tcPr>
          <w:p w:rsidR="00E3567D">
            <w:pPr>
              <w:pStyle w:val="NormalWeb"/>
              <w:adjustRightInd w:val="0"/>
              <w:snapToGrid w:val="0"/>
              <w:spacing w:before="0" w:beforeAutospacing="0" w:after="0" w:afterAutospacing="0"/>
              <w:jc w:val="center"/>
              <w:rPr>
                <w:rFonts w:ascii="仿宋" w:eastAsia="仿宋" w:hAnsi="仿宋"/>
                <w:color w:val="000000"/>
                <w:szCs w:val="24"/>
              </w:rPr>
            </w:pPr>
            <w:r>
              <w:rPr>
                <w:rFonts w:ascii="仿宋" w:eastAsia="仿宋" w:hAnsi="仿宋" w:hint="eastAsia"/>
                <w:color w:val="000000"/>
                <w:szCs w:val="24"/>
              </w:rPr>
              <w:t>6,564.84</w:t>
            </w:r>
          </w:p>
        </w:tc>
      </w:tr>
    </w:tbl>
    <w:p w:rsidR="00E3567D">
      <w:pPr>
        <w:adjustRightInd w:val="0"/>
        <w:snapToGrid w:val="0"/>
        <w:spacing w:line="440" w:lineRule="exact"/>
        <w:outlineLvl w:val="2"/>
        <w:rPr>
          <w:rFonts w:ascii="仿宋" w:eastAsia="仿宋" w:hAnsi="仿宋"/>
          <w:b/>
          <w:sz w:val="24"/>
        </w:rPr>
      </w:pPr>
      <w:bookmarkStart w:id="6" w:name="_Toc1593444077"/>
      <w:r>
        <w:rPr>
          <w:rFonts w:ascii="仿宋" w:eastAsia="仿宋" w:hAnsi="仿宋" w:hint="eastAsia"/>
          <w:b/>
          <w:sz w:val="24"/>
        </w:rPr>
        <w:t>3.</w:t>
      </w:r>
      <w:r>
        <w:rPr>
          <w:rFonts w:ascii="仿宋" w:eastAsia="仿宋" w:hAnsi="仿宋"/>
          <w:b/>
          <w:sz w:val="24"/>
        </w:rPr>
        <w:t>2</w:t>
      </w:r>
      <w:r>
        <w:rPr>
          <w:rFonts w:ascii="仿宋" w:eastAsia="仿宋" w:hAnsi="仿宋" w:hint="eastAsia"/>
          <w:b/>
          <w:sz w:val="24"/>
        </w:rPr>
        <w:t xml:space="preserve"> 产品收益表现</w:t>
      </w:r>
      <w:bookmarkEnd w:id="6"/>
    </w:p>
    <w:tbl>
      <w:tblPr>
        <w:tblW w:w="89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807"/>
        <w:gridCol w:w="3119"/>
      </w:tblGrid>
      <w:tr>
        <w:tblPrEx>
          <w:tblW w:w="89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c>
          <w:tcPr>
            <w:tcW w:w="5807"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color w:val="000000"/>
                <w:kern w:val="0"/>
                <w:sz w:val="24"/>
              </w:rPr>
            </w:pPr>
            <w:r>
              <w:rPr>
                <w:rFonts w:ascii="仿宋" w:eastAsia="仿宋" w:hAnsi="仿宋" w:hint="eastAsia"/>
                <w:color w:val="000000"/>
                <w:kern w:val="0"/>
                <w:sz w:val="24"/>
              </w:rPr>
              <w:t>产品名称</w:t>
            </w:r>
          </w:p>
        </w:tc>
        <w:tc>
          <w:tcPr>
            <w:tcW w:w="3119"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color w:val="000000"/>
                <w:kern w:val="0"/>
                <w:sz w:val="24"/>
              </w:rPr>
            </w:pPr>
            <w:r>
              <w:rPr>
                <w:rFonts w:ascii="仿宋" w:eastAsia="仿宋" w:hAnsi="仿宋" w:hint="eastAsia"/>
                <w:color w:val="000000"/>
                <w:kern w:val="0"/>
                <w:sz w:val="24"/>
              </w:rPr>
              <w:t>近</w:t>
            </w:r>
            <w:r>
              <w:rPr>
                <w:rFonts w:ascii="仿宋" w:eastAsia="仿宋" w:hAnsi="仿宋" w:hint="eastAsia"/>
                <w:color w:val="000000"/>
                <w:kern w:val="0"/>
                <w:sz w:val="24"/>
              </w:rPr>
              <w:t>七日年化收益率</w:t>
            </w:r>
            <w:r>
              <w:rPr>
                <w:rFonts w:ascii="仿宋" w:eastAsia="仿宋" w:hAnsi="仿宋" w:cs="仿宋" w:hint="eastAsia"/>
                <w:kern w:val="0"/>
                <w:sz w:val="24"/>
              </w:rPr>
              <w:t>（%）</w:t>
            </w:r>
          </w:p>
        </w:tc>
      </w:tr>
      <w:tr>
        <w:tblPrEx>
          <w:tblW w:w="8926" w:type="dxa"/>
          <w:tblLayout w:type="fixed"/>
          <w:tblLook w:val="04A0"/>
        </w:tblPrEx>
        <w:tc>
          <w:tcPr>
            <w:tcW w:w="5807" w:type="dxa"/>
            <w:tcBorders>
              <w:top w:val="single" w:sz="4" w:space="0" w:color="auto"/>
              <w:left w:val="single" w:sz="4" w:space="0" w:color="auto"/>
              <w:bottom w:val="single" w:sz="4" w:space="0" w:color="auto"/>
              <w:right w:val="single" w:sz="4" w:space="0" w:color="auto"/>
            </w:tcBorders>
          </w:tcPr>
          <w:p w:rsidR="00E3567D">
            <w:pPr>
              <w:adjustRightInd w:val="0"/>
              <w:snapToGrid w:val="0"/>
              <w:jc w:val="center"/>
              <w:rPr>
                <w:rStyle w:val="a2"/>
                <w:rFonts w:ascii="仿宋" w:eastAsia="仿宋" w:hAnsi="仿宋"/>
                <w:sz w:val="24"/>
                <w:szCs w:val="24"/>
              </w:rPr>
            </w:pPr>
            <w:r>
              <w:rPr>
                <w:rStyle w:val="a2"/>
                <w:rFonts w:ascii="仿宋" w:eastAsia="仿宋" w:hAnsi="仿宋" w:hint="eastAsia"/>
                <w:sz w:val="24"/>
                <w:szCs w:val="24"/>
              </w:rPr>
              <w:t>金钱包13号A款</w:t>
            </w:r>
          </w:p>
        </w:tc>
        <w:tc>
          <w:tcPr>
            <w:tcW w:w="3119"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sz w:val="24"/>
              </w:rPr>
              <w:t>1.65</w:t>
            </w:r>
          </w:p>
        </w:tc>
      </w:tr>
      <w:tr>
        <w:tblPrEx>
          <w:tblW w:w="8926" w:type="dxa"/>
          <w:tblLayout w:type="fixed"/>
          <w:tblLook w:val="04A0"/>
        </w:tblPrEx>
        <w:tc>
          <w:tcPr>
            <w:tcW w:w="5807" w:type="dxa"/>
            <w:tcBorders>
              <w:top w:val="single" w:sz="4" w:space="0" w:color="auto"/>
              <w:left w:val="single" w:sz="4" w:space="0" w:color="auto"/>
              <w:bottom w:val="single" w:sz="4" w:space="0" w:color="auto"/>
              <w:right w:val="single" w:sz="4" w:space="0" w:color="auto"/>
            </w:tcBorders>
          </w:tcPr>
          <w:p w:rsidR="00E3567D">
            <w:pPr>
              <w:adjustRightInd w:val="0"/>
              <w:snapToGrid w:val="0"/>
              <w:jc w:val="center"/>
              <w:rPr>
                <w:rStyle w:val="a2"/>
                <w:rFonts w:ascii="仿宋" w:eastAsia="仿宋" w:hAnsi="仿宋"/>
                <w:sz w:val="24"/>
                <w:szCs w:val="24"/>
              </w:rPr>
            </w:pPr>
            <w:r>
              <w:rPr>
                <w:rStyle w:val="a2"/>
                <w:rFonts w:ascii="仿宋" w:eastAsia="仿宋" w:hAnsi="仿宋" w:hint="eastAsia"/>
                <w:sz w:val="24"/>
                <w:szCs w:val="24"/>
              </w:rPr>
              <w:t>金钱包13号C款</w:t>
            </w:r>
          </w:p>
        </w:tc>
        <w:tc>
          <w:tcPr>
            <w:tcW w:w="3119"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sz w:val="24"/>
              </w:rPr>
              <w:t>1.65</w:t>
            </w:r>
          </w:p>
        </w:tc>
      </w:tr>
      <w:tr>
        <w:tblPrEx>
          <w:tblW w:w="8926" w:type="dxa"/>
          <w:tblLayout w:type="fixed"/>
          <w:tblLook w:val="04A0"/>
        </w:tblPrEx>
        <w:tc>
          <w:tcPr>
            <w:tcW w:w="5807" w:type="dxa"/>
            <w:tcBorders>
              <w:top w:val="single" w:sz="4" w:space="0" w:color="auto"/>
              <w:left w:val="single" w:sz="4" w:space="0" w:color="auto"/>
              <w:bottom w:val="single" w:sz="4" w:space="0" w:color="auto"/>
              <w:right w:val="single" w:sz="4" w:space="0" w:color="auto"/>
            </w:tcBorders>
          </w:tcPr>
          <w:p w:rsidR="00E3567D">
            <w:pPr>
              <w:adjustRightInd w:val="0"/>
              <w:snapToGrid w:val="0"/>
              <w:jc w:val="center"/>
              <w:rPr>
                <w:rStyle w:val="a2"/>
                <w:rFonts w:ascii="仿宋" w:eastAsia="仿宋" w:hAnsi="仿宋"/>
                <w:sz w:val="24"/>
                <w:szCs w:val="24"/>
              </w:rPr>
            </w:pPr>
            <w:r>
              <w:rPr>
                <w:rStyle w:val="a2"/>
                <w:rFonts w:ascii="仿宋" w:eastAsia="仿宋" w:hAnsi="仿宋" w:hint="eastAsia"/>
                <w:sz w:val="24"/>
                <w:szCs w:val="24"/>
              </w:rPr>
              <w:t>金钱包13号T款</w:t>
            </w:r>
          </w:p>
        </w:tc>
        <w:tc>
          <w:tcPr>
            <w:tcW w:w="3119"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sz w:val="24"/>
              </w:rPr>
              <w:t>1.64</w:t>
            </w:r>
          </w:p>
        </w:tc>
      </w:tr>
    </w:tbl>
    <w:p w:rsidR="00E3567D">
      <w:pPr>
        <w:adjustRightInd w:val="0"/>
        <w:snapToGrid w:val="0"/>
        <w:ind w:left="2160" w:hanging="2160" w:hangingChars="900"/>
        <w:rPr>
          <w:rFonts w:ascii="仿宋" w:eastAsia="仿宋" w:hAnsi="仿宋"/>
          <w:sz w:val="24"/>
        </w:rPr>
      </w:pPr>
      <w:r>
        <w:rPr>
          <w:rFonts w:ascii="仿宋" w:eastAsia="仿宋" w:hAnsi="仿宋" w:hint="eastAsia"/>
          <w:sz w:val="24"/>
        </w:rPr>
        <w:t>*红利再投产品/份额七日年化收益率计算公式为：</w:t>
      </w:r>
    </w:p>
    <w:p w:rsidR="00E3567D">
      <w:pPr>
        <w:adjustRightInd w:val="0"/>
        <w:snapToGrid w:val="0"/>
        <w:ind w:left="2160" w:hanging="2160" w:hangingChars="900"/>
        <w:jc w:val="center"/>
        <w:rPr>
          <w:rFonts w:ascii="仿宋" w:eastAsia="仿宋" w:hAnsi="仿宋"/>
          <w:sz w:val="24"/>
        </w:rPr>
      </w:pPr>
      <w:r>
        <w:rPr>
          <w:rFonts w:ascii="仿宋" w:eastAsia="仿宋" w:hAnsi="仿宋" w:hint="eastAsia"/>
          <w:sz w:val="24"/>
        </w:rPr>
        <w:obje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64.65pt;height:51.95pt" o:oleicon="f" o:ole="">
            <v:imagedata r:id="rId5" o:title=""/>
          </v:shape>
          <o:OLEObject Type="Embed" ProgID="Equation.3" ShapeID="_x0000_i1025" DrawAspect="Content" ObjectID="_1792858362" r:id="rId6"/>
        </w:object>
      </w:r>
    </w:p>
    <w:p w:rsidR="00E3567D">
      <w:pPr>
        <w:adjustRightInd w:val="0"/>
        <w:snapToGrid w:val="0"/>
        <w:rPr>
          <w:rFonts w:ascii="仿宋" w:eastAsia="仿宋" w:hAnsi="仿宋"/>
          <w:color w:val="404040"/>
          <w:kern w:val="0"/>
          <w:sz w:val="24"/>
        </w:rPr>
      </w:pPr>
      <w:r>
        <w:rPr>
          <w:rFonts w:ascii="仿宋" w:eastAsia="仿宋" w:hAnsi="仿宋" w:hint="eastAsia"/>
          <w:sz w:val="24"/>
        </w:rPr>
        <w:t>*现金分红产品/份额七日年化收益率计算公式为：∑近7日日年化收益率/7，其中，日年化收益率计算公式为：（当日资产组合投资收益-当日理财计划托管费-当日理财计划管理费-当日理财计划销售服务费-其他税费）/当日理财计划份额*365*100%</w:t>
      </w:r>
      <w:r>
        <w:rPr>
          <w:rFonts w:ascii="仿宋" w:eastAsia="仿宋" w:hAnsi="仿宋" w:hint="eastAsia"/>
          <w:sz w:val="24"/>
        </w:rPr>
        <w:br/>
        <w:t>*产品过往业绩相关数据已经产品托管人复核；</w:t>
      </w:r>
      <w:r>
        <w:rPr>
          <w:rFonts w:ascii="宋体" w:hAnsi="宋体" w:cs="宋体" w:hint="eastAsia"/>
          <w:kern w:val="0"/>
          <w:sz w:val="20"/>
          <w:szCs w:val="20"/>
          <w:highlight w:val="yellow"/>
        </w:rPr>
        <w:br/>
      </w:r>
      <w:r>
        <w:rPr>
          <w:rFonts w:ascii="仿宋" w:eastAsia="仿宋" w:hAnsi="仿宋" w:hint="eastAsia"/>
          <w:sz w:val="24"/>
        </w:rPr>
        <w:t>*理财产品</w:t>
      </w:r>
      <w:r w:rsidR="00677DDF">
        <w:rPr>
          <w:rFonts w:ascii="仿宋" w:eastAsia="仿宋" w:hAnsi="仿宋" w:hint="eastAsia"/>
          <w:sz w:val="24"/>
        </w:rPr>
        <w:t>过往业绩不代表其未来的表现及收益，理财非存款，市场有风险，投资须</w:t>
      </w:r>
      <w:bookmarkStart w:id="7" w:name="_GoBack"/>
      <w:bookmarkEnd w:id="7"/>
      <w:r>
        <w:rPr>
          <w:rFonts w:ascii="仿宋" w:eastAsia="仿宋" w:hAnsi="仿宋" w:hint="eastAsia"/>
          <w:sz w:val="24"/>
        </w:rPr>
        <w:t>谨慎。</w:t>
      </w:r>
    </w:p>
    <w:p w:rsidR="00E3567D">
      <w:pPr>
        <w:pStyle w:val="Heading2"/>
        <w:adjustRightInd w:val="0"/>
        <w:snapToGrid w:val="0"/>
        <w:spacing w:line="560" w:lineRule="exact"/>
        <w:jc w:val="center"/>
        <w:rPr>
          <w:rFonts w:ascii="仿宋" w:eastAsia="仿宋" w:hAnsi="仿宋"/>
          <w:sz w:val="24"/>
        </w:rPr>
      </w:pPr>
      <w:bookmarkStart w:id="8" w:name="_Toc1893524049"/>
      <w:r>
        <w:rPr>
          <w:rFonts w:ascii="仿宋" w:eastAsia="仿宋" w:hAnsi="仿宋" w:hint="eastAsia"/>
          <w:sz w:val="24"/>
        </w:rPr>
        <w:t>§4  投资组合报告</w:t>
      </w:r>
      <w:bookmarkEnd w:id="8"/>
    </w:p>
    <w:p w:rsidR="00E3567D">
      <w:pPr>
        <w:adjustRightInd w:val="0"/>
        <w:snapToGrid w:val="0"/>
        <w:spacing w:line="440" w:lineRule="exact"/>
        <w:outlineLvl w:val="2"/>
        <w:rPr>
          <w:rFonts w:ascii="仿宋" w:eastAsia="仿宋" w:hAnsi="仿宋"/>
          <w:b/>
          <w:sz w:val="24"/>
        </w:rPr>
      </w:pPr>
      <w:bookmarkStart w:id="9" w:name="_Toc898526650"/>
      <w:r>
        <w:rPr>
          <w:rFonts w:ascii="仿宋" w:eastAsia="仿宋" w:hAnsi="仿宋" w:hint="eastAsia"/>
          <w:b/>
          <w:sz w:val="24"/>
        </w:rPr>
        <w:t>4.1</w:t>
      </w:r>
      <w:r>
        <w:rPr>
          <w:rFonts w:ascii="仿宋" w:eastAsia="仿宋" w:hAnsi="仿宋"/>
          <w:b/>
          <w:sz w:val="24"/>
        </w:rPr>
        <w:t xml:space="preserve"> </w:t>
      </w:r>
      <w:r>
        <w:rPr>
          <w:rFonts w:ascii="仿宋" w:eastAsia="仿宋" w:hAnsi="仿宋" w:hint="eastAsia"/>
          <w:b/>
          <w:sz w:val="24"/>
        </w:rPr>
        <w:t>报告期内产品投资策略回顾</w:t>
      </w:r>
      <w:bookmarkEnd w:id="9"/>
    </w:p>
    <w:p w:rsidR="00E3567D">
      <w:pPr>
        <w:adjustRightInd w:val="0"/>
        <w:snapToGrid w:val="0"/>
        <w:spacing w:line="420" w:lineRule="exact"/>
        <w:ind w:firstLine="480" w:firstLineChars="200"/>
        <w:rPr>
          <w:rFonts w:ascii="仿宋" w:eastAsia="仿宋" w:hAnsi="仿宋"/>
          <w:sz w:val="24"/>
        </w:rPr>
      </w:pPr>
      <w:r>
        <w:rPr>
          <w:rFonts w:ascii="仿宋" w:eastAsia="仿宋" w:hAnsi="仿宋" w:hint="eastAsia"/>
          <w:sz w:val="24"/>
        </w:rPr>
        <w:t>四季度以来，债券收益率整体大幅下行，9月底出台了一系列宏观经济刺激政策，带动四季度经济弱复苏，地产销售好转，两新两重政策带动汽车家电等消费品增速回升，出口保持韧性，但同时经济内生性增长动力依旧不足，房地产刺激政策效果逐步减弱，消费增速偏弱，通胀数据疲软，信贷需求偏弱，投资者对于基本面持续回升的分歧较大。政策方面，9月25日，央行“四箭齐发”，降准、降息、降存量房贷利率、创设全新货币政策工具（支持股市）等政策齐落地，12月初中央经济工作要求货币政策保持适度宽松，市场普遍预期2025年降息幅度将大于2024年，货币宽松力度有望进一步加大，资金宽松确定性更强。整体而言，目前国内资产利率中枢仍在下行过程中，央行仍将保持宽松的货币政策环境，在适度宽松的货币政策基调下，资产荒和货币政策宽松的债市主线逻辑依旧存在。从收益率来看，截至12月31日，10年国债收益率1.67%，较年初下行88bp，1年期国股存单收益率1.57%，较年初下行89bp，3年期AA+城投债收益率1.91%，较年初下行96bp，3年期AAA银行二级资本债收益率1.76%，较年初下行112bp，相比起来，二级资本债收益率下行幅度更大。投资策略上，本产品积极配置信用债、存单、回购和货币基金等高流动性资产，在保持产品流动性稳定的情况下，积极提升组合收益。</w:t>
      </w:r>
    </w:p>
    <w:p w:rsidR="00E3567D">
      <w:pPr>
        <w:adjustRightInd w:val="0"/>
        <w:snapToGrid w:val="0"/>
        <w:spacing w:line="440" w:lineRule="exact"/>
        <w:outlineLvl w:val="2"/>
        <w:rPr>
          <w:rFonts w:ascii="仿宋" w:eastAsia="仿宋" w:hAnsi="仿宋"/>
          <w:b/>
          <w:sz w:val="24"/>
        </w:rPr>
      </w:pPr>
      <w:bookmarkStart w:id="10" w:name="_Toc432400846"/>
      <w:r>
        <w:rPr>
          <w:rFonts w:ascii="仿宋" w:eastAsia="仿宋" w:hAnsi="仿宋" w:hint="eastAsia"/>
          <w:b/>
          <w:sz w:val="24"/>
        </w:rPr>
        <w:t>4.2产品未来展望</w:t>
      </w:r>
      <w:bookmarkEnd w:id="10"/>
    </w:p>
    <w:p w:rsidR="00E3567D">
      <w:pPr>
        <w:adjustRightInd w:val="0"/>
        <w:snapToGrid w:val="0"/>
        <w:spacing w:line="420" w:lineRule="exact"/>
        <w:ind w:firstLine="480" w:firstLineChars="200"/>
        <w:rPr>
          <w:rFonts w:ascii="仿宋" w:eastAsia="仿宋" w:hAnsi="仿宋"/>
          <w:sz w:val="24"/>
        </w:rPr>
      </w:pPr>
      <w:r>
        <w:rPr>
          <w:rFonts w:ascii="仿宋" w:eastAsia="仿宋" w:hAnsi="仿宋" w:hint="eastAsia"/>
          <w:sz w:val="24"/>
        </w:rPr>
        <w:t>展望2025年一季度，从基本面来看，四季度以来PMI、工业生产、地产销售等数据边际走强，显示当前基本面弱复苏，PMI连续3个月处于扩张区间， 30城地产销售面积明显回暖，消费仍处于缓慢修复过程中，经济内生性动力有待提升，基本面环境对债市仍偏利好；从政策面来看，中央经济工作会议要求货币政策保持适度宽松，央行支持性的货币政策基调下，市场预期2025年降准降息次数大于2024年。整体而言，经济弱复苏，货币政策有望持续宽松，债市流动性环境相对友好，叠加机构投资者普遍欠配，债券收益率易下难上，但目前债市收益率已来到较低水平，期限利差和信用利差均处于较低位，收益率下行受资金面的约束越发明显，后续继续大幅下行的可能性较小。我们预期一季度债券收益率整体保持低位震荡偏多，策略上优选高流动性资产，关注短端信用债与存单的机会，逢高加仓，若息差走阔可通过加杠杆增厚组合收益。</w:t>
      </w:r>
    </w:p>
    <w:p w:rsidR="00E3567D">
      <w:pPr>
        <w:adjustRightInd w:val="0"/>
        <w:snapToGrid w:val="0"/>
        <w:spacing w:line="440" w:lineRule="exact"/>
        <w:outlineLvl w:val="2"/>
        <w:rPr>
          <w:rFonts w:ascii="仿宋" w:eastAsia="仿宋" w:hAnsi="仿宋"/>
          <w:b/>
          <w:sz w:val="24"/>
        </w:rPr>
      </w:pPr>
      <w:bookmarkStart w:id="11" w:name="_Toc276357274"/>
      <w:r>
        <w:rPr>
          <w:rFonts w:ascii="仿宋" w:eastAsia="仿宋" w:hAnsi="仿宋" w:hint="eastAsia"/>
          <w:b/>
          <w:sz w:val="24"/>
        </w:rPr>
        <w:t>4.3投资组合的流动性风险分析</w:t>
      </w:r>
      <w:bookmarkEnd w:id="11"/>
    </w:p>
    <w:p w:rsidR="00E3567D">
      <w:pPr>
        <w:adjustRightInd w:val="0"/>
        <w:snapToGrid w:val="0"/>
        <w:spacing w:line="420" w:lineRule="exact"/>
        <w:ind w:firstLine="480" w:firstLineChars="200"/>
        <w:rPr>
          <w:rFonts w:ascii="仿宋" w:eastAsia="仿宋" w:hAnsi="仿宋"/>
          <w:sz w:val="24"/>
        </w:rPr>
      </w:pPr>
      <w:r>
        <w:rPr>
          <w:rFonts w:ascii="仿宋" w:eastAsia="仿宋" w:hAnsi="仿宋" w:hint="eastAsia"/>
          <w:sz w:val="24"/>
        </w:rPr>
        <w:t>流动性风险是指理财产品无法通过变现资产等途径以合理成本及时获得充足资金，用于满足该理财产品的投资者赎回需求、履行其他支付义务的风险。</w:t>
        <w:cr/>
        <w:t xml:space="preserve">    本产品属于现金管理类产品，坚持流动性管理工具的定位，保持投资组合较高的流动性，主要投资于利率债，同业存单、逆回购等资产。本产品管理人遵循《关于规范现金管理类理财产品管理有关事项的通知》《理财公司理财产品流动性风险管理办法》等相关法规的要求，对本产品组合资产的流动性风险进行管理，并由风险管理部门对本产品组合的流动性指标进行持续监测，产品整体流动性风险可控。报告期内，本产品组合资产的流动性与产品的申赎安排相匹配，未发生重大流动性风险事件。管理人将继续密切关注市场变化，做好产品端现金流的跟踪与研判，通过合理安排投资品种和期限结构、监控组合资金头寸等方式，确保产品的流动性风险得到有效管理。</w:t>
      </w:r>
    </w:p>
    <w:p w:rsidR="00E3567D">
      <w:pPr>
        <w:adjustRightInd w:val="0"/>
        <w:snapToGrid w:val="0"/>
        <w:spacing w:line="440" w:lineRule="exact"/>
        <w:outlineLvl w:val="2"/>
        <w:rPr>
          <w:rFonts w:ascii="仿宋" w:eastAsia="仿宋" w:hAnsi="仿宋"/>
          <w:b/>
          <w:sz w:val="24"/>
        </w:rPr>
      </w:pPr>
      <w:bookmarkStart w:id="12" w:name="_Toc1877059304"/>
      <w:r>
        <w:rPr>
          <w:rFonts w:ascii="仿宋" w:eastAsia="仿宋" w:hAnsi="仿宋" w:hint="eastAsia"/>
          <w:b/>
          <w:sz w:val="24"/>
        </w:rPr>
        <w:t>4.4 报告期末投资组合分类</w:t>
      </w:r>
      <w:bookmarkEnd w:id="12"/>
    </w:p>
    <w:tbl>
      <w:tblPr>
        <w:tblW w:w="9015" w:type="dxa"/>
        <w:tblInd w:w="-5" w:type="dxa"/>
        <w:tblLayout w:type="fixed"/>
        <w:tblCellMar>
          <w:left w:w="0" w:type="dxa"/>
          <w:right w:w="0" w:type="dxa"/>
        </w:tblCellMar>
        <w:tblLook w:val="04A0"/>
      </w:tblPr>
      <w:tblGrid>
        <w:gridCol w:w="397"/>
        <w:gridCol w:w="4082"/>
        <w:gridCol w:w="2268"/>
        <w:gridCol w:w="2268"/>
      </w:tblGrid>
      <w:tr>
        <w:tblPrEx>
          <w:tblW w:w="9015" w:type="dxa"/>
          <w:tblInd w:w="-5" w:type="dxa"/>
          <w:tblLayout w:type="fixed"/>
          <w:tblCellMar>
            <w:left w:w="0" w:type="dxa"/>
            <w:right w:w="0" w:type="dxa"/>
          </w:tblCellMar>
          <w:tblLook w:val="04A0"/>
        </w:tblPrEx>
        <w:tc>
          <w:tcPr>
            <w:tcW w:w="397"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序号</w:t>
            </w:r>
          </w:p>
        </w:tc>
        <w:tc>
          <w:tcPr>
            <w:tcW w:w="4082"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项目</w:t>
            </w:r>
          </w:p>
        </w:tc>
        <w:tc>
          <w:tcPr>
            <w:tcW w:w="2268" w:type="dxa"/>
            <w:tcBorders>
              <w:top w:val="single" w:sz="4" w:space="0" w:color="auto"/>
              <w:left w:val="nil"/>
              <w:bottom w:val="single" w:sz="4" w:space="0" w:color="auto"/>
              <w:right w:val="single" w:sz="4" w:space="0" w:color="auto"/>
            </w:tcBorders>
          </w:tcPr>
          <w:p w:rsidR="00E3567D">
            <w:pPr>
              <w:adjustRightInd w:val="0"/>
              <w:snapToGrid w:val="0"/>
              <w:jc w:val="center"/>
              <w:rPr>
                <w:rFonts w:ascii="仿宋" w:eastAsia="仿宋" w:hAnsi="仿宋"/>
                <w:sz w:val="24"/>
              </w:rPr>
            </w:pPr>
            <w:r>
              <w:rPr>
                <w:rFonts w:ascii="仿宋" w:eastAsia="仿宋" w:hAnsi="仿宋" w:cs="仿宋" w:hint="eastAsia"/>
                <w:sz w:val="24"/>
              </w:rPr>
              <w:t>期末</w:t>
            </w:r>
            <w:r>
              <w:rPr>
                <w:rFonts w:ascii="仿宋" w:eastAsia="仿宋" w:hAnsi="仿宋" w:cs="仿宋" w:hint="eastAsia"/>
                <w:sz w:val="24"/>
              </w:rPr>
              <w:t>穿透前占总</w:t>
            </w:r>
            <w:r>
              <w:rPr>
                <w:rFonts w:ascii="仿宋" w:eastAsia="仿宋" w:hAnsi="仿宋" w:cs="仿宋" w:hint="eastAsia"/>
                <w:sz w:val="24"/>
              </w:rPr>
              <w:t>资产比例（％）</w:t>
            </w:r>
          </w:p>
        </w:tc>
        <w:tc>
          <w:tcPr>
            <w:tcW w:w="2268" w:type="dxa"/>
            <w:tcBorders>
              <w:top w:val="single" w:sz="4" w:space="0" w:color="auto"/>
              <w:left w:val="nil"/>
              <w:bottom w:val="single" w:sz="4" w:space="0" w:color="auto"/>
              <w:right w:val="single" w:sz="4" w:space="0" w:color="auto"/>
            </w:tcBorders>
          </w:tcPr>
          <w:p w:rsidR="00E3567D">
            <w:pPr>
              <w:adjustRightInd w:val="0"/>
              <w:snapToGrid w:val="0"/>
              <w:jc w:val="center"/>
              <w:rPr>
                <w:rFonts w:ascii="仿宋" w:eastAsia="仿宋" w:hAnsi="仿宋"/>
                <w:sz w:val="24"/>
              </w:rPr>
            </w:pPr>
            <w:r>
              <w:rPr>
                <w:rFonts w:ascii="仿宋" w:eastAsia="仿宋" w:hAnsi="仿宋" w:cs="仿宋" w:hint="eastAsia"/>
                <w:sz w:val="24"/>
              </w:rPr>
              <w:t>期末穿透后占总资产比例（％）</w:t>
            </w:r>
          </w:p>
        </w:tc>
      </w:tr>
      <w:tr>
        <w:tblPrEx>
          <w:tblW w:w="9015" w:type="dxa"/>
          <w:tblInd w:w="-5" w:type="dxa"/>
          <w:tblLayout w:type="fixed"/>
          <w:tblCellMar>
            <w:left w:w="0" w:type="dxa"/>
            <w:right w:w="0" w:type="dxa"/>
          </w:tblCellMar>
          <w:tblLook w:val="04A0"/>
        </w:tblPrEx>
        <w:tc>
          <w:tcPr>
            <w:tcW w:w="397"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1</w:t>
            </w:r>
          </w:p>
        </w:tc>
        <w:tc>
          <w:tcPr>
            <w:tcW w:w="4082"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现金及银行存款</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0.77</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2.24</w:t>
            </w:r>
          </w:p>
        </w:tc>
      </w:tr>
      <w:tr>
        <w:tblPrEx>
          <w:tblW w:w="9015" w:type="dxa"/>
          <w:tblInd w:w="-5" w:type="dxa"/>
          <w:tblLayout w:type="fixed"/>
          <w:tblCellMar>
            <w:left w:w="0" w:type="dxa"/>
            <w:right w:w="0" w:type="dxa"/>
          </w:tblCellMar>
          <w:tblLook w:val="04A0"/>
        </w:tblPrEx>
        <w:tc>
          <w:tcPr>
            <w:tcW w:w="397"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2</w:t>
            </w:r>
          </w:p>
        </w:tc>
        <w:tc>
          <w:tcPr>
            <w:tcW w:w="4082"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同业存单</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51.75</w:t>
            </w:r>
          </w:p>
        </w:tc>
      </w:tr>
      <w:tr>
        <w:tblPrEx>
          <w:tblW w:w="9015" w:type="dxa"/>
          <w:tblInd w:w="-5" w:type="dxa"/>
          <w:tblLayout w:type="fixed"/>
          <w:tblCellMar>
            <w:left w:w="0" w:type="dxa"/>
            <w:right w:w="0" w:type="dxa"/>
          </w:tblCellMar>
          <w:tblLook w:val="04A0"/>
        </w:tblPrEx>
        <w:tc>
          <w:tcPr>
            <w:tcW w:w="397"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3</w:t>
            </w:r>
          </w:p>
        </w:tc>
        <w:tc>
          <w:tcPr>
            <w:tcW w:w="4082"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拆放同业及债券买入返售</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33.42</w:t>
            </w:r>
          </w:p>
        </w:tc>
      </w:tr>
      <w:tr>
        <w:tblPrEx>
          <w:tblW w:w="9015" w:type="dxa"/>
          <w:tblInd w:w="-5" w:type="dxa"/>
          <w:tblLayout w:type="fixed"/>
          <w:tblCellMar>
            <w:left w:w="0" w:type="dxa"/>
            <w:right w:w="0" w:type="dxa"/>
          </w:tblCellMar>
          <w:tblLook w:val="04A0"/>
        </w:tblPrEx>
        <w:tc>
          <w:tcPr>
            <w:tcW w:w="397"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4</w:t>
            </w:r>
          </w:p>
        </w:tc>
        <w:tc>
          <w:tcPr>
            <w:tcW w:w="4082"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债券</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12.58</w:t>
            </w:r>
          </w:p>
        </w:tc>
      </w:tr>
      <w:tr>
        <w:tblPrEx>
          <w:tblW w:w="9015" w:type="dxa"/>
          <w:tblInd w:w="-5" w:type="dxa"/>
          <w:tblLayout w:type="fixed"/>
          <w:tblCellMar>
            <w:left w:w="0" w:type="dxa"/>
            <w:right w:w="0" w:type="dxa"/>
          </w:tblCellMar>
          <w:tblLook w:val="04A0"/>
        </w:tblPrEx>
        <w:tc>
          <w:tcPr>
            <w:tcW w:w="397"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5</w:t>
            </w:r>
          </w:p>
        </w:tc>
        <w:tc>
          <w:tcPr>
            <w:tcW w:w="4082"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非标准化债券类资产</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0.00</w:t>
            </w:r>
          </w:p>
        </w:tc>
      </w:tr>
      <w:tr>
        <w:tblPrEx>
          <w:tblW w:w="9015" w:type="dxa"/>
          <w:tblInd w:w="-5" w:type="dxa"/>
          <w:tblLayout w:type="fixed"/>
          <w:tblCellMar>
            <w:left w:w="0" w:type="dxa"/>
            <w:right w:w="0" w:type="dxa"/>
          </w:tblCellMar>
          <w:tblLook w:val="04A0"/>
        </w:tblPrEx>
        <w:tc>
          <w:tcPr>
            <w:tcW w:w="397"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6</w:t>
            </w:r>
          </w:p>
        </w:tc>
        <w:tc>
          <w:tcPr>
            <w:tcW w:w="4082"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权益类投资</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0.00</w:t>
            </w:r>
          </w:p>
        </w:tc>
      </w:tr>
      <w:tr>
        <w:tblPrEx>
          <w:tblW w:w="9015" w:type="dxa"/>
          <w:tblInd w:w="-5" w:type="dxa"/>
          <w:tblLayout w:type="fixed"/>
          <w:tblCellMar>
            <w:left w:w="0" w:type="dxa"/>
            <w:right w:w="0" w:type="dxa"/>
          </w:tblCellMar>
          <w:tblLook w:val="04A0"/>
        </w:tblPrEx>
        <w:tc>
          <w:tcPr>
            <w:tcW w:w="397"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7</w:t>
            </w:r>
          </w:p>
        </w:tc>
        <w:tc>
          <w:tcPr>
            <w:tcW w:w="4082"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金融衍生品</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0.00</w:t>
            </w:r>
          </w:p>
        </w:tc>
      </w:tr>
      <w:tr>
        <w:tblPrEx>
          <w:tblW w:w="9015" w:type="dxa"/>
          <w:tblInd w:w="-5" w:type="dxa"/>
          <w:tblLayout w:type="fixed"/>
          <w:tblCellMar>
            <w:left w:w="0" w:type="dxa"/>
            <w:right w:w="0" w:type="dxa"/>
          </w:tblCellMar>
          <w:tblLook w:val="04A0"/>
        </w:tblPrEx>
        <w:tc>
          <w:tcPr>
            <w:tcW w:w="397"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8</w:t>
            </w:r>
          </w:p>
        </w:tc>
        <w:tc>
          <w:tcPr>
            <w:tcW w:w="4082"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代客境外理财投资QDII</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0.00</w:t>
            </w:r>
          </w:p>
        </w:tc>
      </w:tr>
      <w:tr>
        <w:tblPrEx>
          <w:tblW w:w="9015" w:type="dxa"/>
          <w:tblInd w:w="-5" w:type="dxa"/>
          <w:tblLayout w:type="fixed"/>
          <w:tblCellMar>
            <w:left w:w="0" w:type="dxa"/>
            <w:right w:w="0" w:type="dxa"/>
          </w:tblCellMar>
          <w:tblLook w:val="04A0"/>
        </w:tblPrEx>
        <w:tc>
          <w:tcPr>
            <w:tcW w:w="397"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9</w:t>
            </w:r>
          </w:p>
        </w:tc>
        <w:tc>
          <w:tcPr>
            <w:tcW w:w="4082"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商品类资产</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0.00</w:t>
            </w:r>
          </w:p>
        </w:tc>
      </w:tr>
      <w:tr>
        <w:tblPrEx>
          <w:tblW w:w="9015" w:type="dxa"/>
          <w:tblInd w:w="-5" w:type="dxa"/>
          <w:tblLayout w:type="fixed"/>
          <w:tblCellMar>
            <w:left w:w="0" w:type="dxa"/>
            <w:right w:w="0" w:type="dxa"/>
          </w:tblCellMar>
          <w:tblLook w:val="04A0"/>
        </w:tblPrEx>
        <w:tc>
          <w:tcPr>
            <w:tcW w:w="397"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10</w:t>
            </w:r>
          </w:p>
        </w:tc>
        <w:tc>
          <w:tcPr>
            <w:tcW w:w="4082"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另类资产</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0.00</w:t>
            </w:r>
          </w:p>
        </w:tc>
      </w:tr>
      <w:tr>
        <w:tblPrEx>
          <w:tblW w:w="9015" w:type="dxa"/>
          <w:tblInd w:w="-5" w:type="dxa"/>
          <w:tblLayout w:type="fixed"/>
          <w:tblCellMar>
            <w:left w:w="0" w:type="dxa"/>
            <w:right w:w="0" w:type="dxa"/>
          </w:tblCellMar>
          <w:tblLook w:val="04A0"/>
        </w:tblPrEx>
        <w:tc>
          <w:tcPr>
            <w:tcW w:w="397"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11</w:t>
            </w:r>
          </w:p>
        </w:tc>
        <w:tc>
          <w:tcPr>
            <w:tcW w:w="4082"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公募基金</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0.00</w:t>
            </w:r>
          </w:p>
        </w:tc>
      </w:tr>
      <w:tr>
        <w:tblPrEx>
          <w:tblW w:w="9015" w:type="dxa"/>
          <w:tblInd w:w="-5" w:type="dxa"/>
          <w:tblLayout w:type="fixed"/>
          <w:tblCellMar>
            <w:left w:w="0" w:type="dxa"/>
            <w:right w:w="0" w:type="dxa"/>
          </w:tblCellMar>
          <w:tblLook w:val="04A0"/>
        </w:tblPrEx>
        <w:tc>
          <w:tcPr>
            <w:tcW w:w="397"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12</w:t>
            </w:r>
          </w:p>
        </w:tc>
        <w:tc>
          <w:tcPr>
            <w:tcW w:w="4082"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私募基金</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0.00</w:t>
            </w:r>
          </w:p>
        </w:tc>
      </w:tr>
      <w:tr>
        <w:tblPrEx>
          <w:tblW w:w="9015" w:type="dxa"/>
          <w:tblInd w:w="-5" w:type="dxa"/>
          <w:tblLayout w:type="fixed"/>
          <w:tblCellMar>
            <w:left w:w="0" w:type="dxa"/>
            <w:right w:w="0" w:type="dxa"/>
          </w:tblCellMar>
          <w:tblLook w:val="04A0"/>
        </w:tblPrEx>
        <w:tc>
          <w:tcPr>
            <w:tcW w:w="397"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13</w:t>
            </w:r>
          </w:p>
        </w:tc>
        <w:tc>
          <w:tcPr>
            <w:tcW w:w="4082"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资产管理产品</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99.23</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0.00</w:t>
            </w:r>
          </w:p>
        </w:tc>
      </w:tr>
      <w:tr>
        <w:tblPrEx>
          <w:tblW w:w="9015" w:type="dxa"/>
          <w:tblInd w:w="-5" w:type="dxa"/>
          <w:tblLayout w:type="fixed"/>
          <w:tblCellMar>
            <w:left w:w="0" w:type="dxa"/>
            <w:right w:w="0" w:type="dxa"/>
          </w:tblCellMar>
          <w:tblLook w:val="04A0"/>
        </w:tblPrEx>
        <w:tc>
          <w:tcPr>
            <w:tcW w:w="397"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14</w:t>
            </w:r>
          </w:p>
        </w:tc>
        <w:tc>
          <w:tcPr>
            <w:tcW w:w="4082"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委外投资——协议方式</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0.00</w:t>
            </w:r>
          </w:p>
        </w:tc>
      </w:tr>
      <w:tr>
        <w:tblPrEx>
          <w:tblW w:w="9015" w:type="dxa"/>
          <w:tblInd w:w="-5" w:type="dxa"/>
          <w:tblLayout w:type="fixed"/>
          <w:tblCellMar>
            <w:left w:w="0" w:type="dxa"/>
            <w:right w:w="0" w:type="dxa"/>
          </w:tblCellMar>
          <w:tblLook w:val="04A0"/>
        </w:tblPrEx>
        <w:tc>
          <w:tcPr>
            <w:tcW w:w="397"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15</w:t>
            </w:r>
          </w:p>
        </w:tc>
        <w:tc>
          <w:tcPr>
            <w:tcW w:w="4082"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合计</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100.00</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100.00</w:t>
            </w:r>
          </w:p>
        </w:tc>
      </w:tr>
    </w:tbl>
    <w:p w:rsidR="00E3567D">
      <w:pPr>
        <w:adjustRightInd w:val="0"/>
        <w:snapToGrid w:val="0"/>
        <w:spacing w:line="440" w:lineRule="exact"/>
        <w:outlineLvl w:val="2"/>
        <w:rPr>
          <w:rFonts w:ascii="仿宋" w:eastAsia="仿宋" w:hAnsi="仿宋"/>
          <w:b/>
          <w:sz w:val="24"/>
        </w:rPr>
      </w:pPr>
      <w:bookmarkStart w:id="13" w:name="_Toc132523533"/>
      <w:r>
        <w:rPr>
          <w:rFonts w:ascii="仿宋" w:eastAsia="仿宋" w:hAnsi="仿宋" w:hint="eastAsia"/>
          <w:b/>
          <w:sz w:val="24"/>
        </w:rPr>
        <w:t>4.</w:t>
      </w:r>
      <w:r>
        <w:rPr>
          <w:rFonts w:ascii="仿宋" w:eastAsia="仿宋" w:hAnsi="仿宋"/>
          <w:b/>
          <w:sz w:val="24"/>
        </w:rPr>
        <w:t>5</w:t>
      </w:r>
      <w:r>
        <w:rPr>
          <w:rFonts w:ascii="仿宋" w:eastAsia="仿宋" w:hAnsi="仿宋" w:hint="eastAsia"/>
          <w:b/>
          <w:sz w:val="24"/>
        </w:rPr>
        <w:t>报告期末投资前十名资产明细</w:t>
      </w:r>
      <w:bookmarkEnd w:id="13"/>
    </w:p>
    <w:p w:rsidR="00E3567D">
      <w:pPr>
        <w:adjustRightInd w:val="0"/>
        <w:snapToGrid w:val="0"/>
        <w:spacing w:line="440" w:lineRule="exact"/>
        <w:ind w:firstLine="6240" w:firstLineChars="2600"/>
        <w:jc w:val="right"/>
        <w:rPr>
          <w:rFonts w:ascii="仿宋" w:eastAsia="仿宋" w:hAnsi="仿宋" w:cs="仿宋"/>
          <w:sz w:val="24"/>
        </w:rPr>
      </w:pPr>
      <w:r>
        <w:rPr>
          <w:rFonts w:ascii="仿宋" w:eastAsia="仿宋" w:hAnsi="仿宋" w:cs="仿宋" w:hint="eastAsia"/>
          <w:sz w:val="24"/>
        </w:rPr>
        <w:t>单位：人民币元</w:t>
      </w:r>
    </w:p>
    <w:tbl>
      <w:tblPr>
        <w:tblW w:w="901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tblPr>
      <w:tblGrid>
        <w:gridCol w:w="572"/>
        <w:gridCol w:w="3798"/>
        <w:gridCol w:w="2325"/>
        <w:gridCol w:w="2324"/>
      </w:tblGrid>
      <w:tr>
        <w:tblPrEx>
          <w:tblW w:w="901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tblPrEx>
        <w:tc>
          <w:tcPr>
            <w:tcW w:w="572" w:type="dxa"/>
            <w:tcMar>
              <w:top w:w="15" w:type="dxa"/>
              <w:left w:w="15" w:type="dxa"/>
              <w:bottom w:w="0" w:type="dxa"/>
              <w:right w:w="15" w:type="dxa"/>
            </w:tcMar>
          </w:tcPr>
          <w:p w:rsidR="00E3567D">
            <w:pPr>
              <w:adjustRightInd w:val="0"/>
              <w:snapToGrid w:val="0"/>
              <w:rPr>
                <w:rFonts w:ascii="仿宋" w:eastAsia="仿宋" w:hAnsi="仿宋"/>
                <w:sz w:val="24"/>
              </w:rPr>
            </w:pPr>
            <w:r>
              <w:rPr>
                <w:rFonts w:ascii="仿宋" w:eastAsia="仿宋" w:hAnsi="仿宋" w:hint="eastAsia"/>
                <w:sz w:val="24"/>
              </w:rPr>
              <w:t>序号</w:t>
            </w:r>
          </w:p>
        </w:tc>
        <w:tc>
          <w:tcPr>
            <w:tcW w:w="3798" w:type="dxa"/>
            <w:tcMar>
              <w:top w:w="15" w:type="dxa"/>
              <w:left w:w="15" w:type="dxa"/>
              <w:bottom w:w="0" w:type="dxa"/>
              <w:right w:w="15" w:type="dxa"/>
            </w:tcMar>
          </w:tcPr>
          <w:p w:rsidR="00E3567D">
            <w:pPr>
              <w:adjustRightInd w:val="0"/>
              <w:snapToGrid w:val="0"/>
              <w:jc w:val="center"/>
              <w:rPr>
                <w:rFonts w:ascii="仿宋" w:eastAsia="仿宋" w:hAnsi="仿宋"/>
                <w:sz w:val="24"/>
              </w:rPr>
            </w:pPr>
            <w:r>
              <w:rPr>
                <w:rFonts w:ascii="仿宋" w:eastAsia="仿宋" w:hAnsi="仿宋" w:hint="eastAsia"/>
                <w:sz w:val="24"/>
              </w:rPr>
              <w:t>资产名称</w:t>
            </w:r>
          </w:p>
        </w:tc>
        <w:tc>
          <w:tcPr>
            <w:tcW w:w="2325" w:type="dxa"/>
            <w:tcMar>
              <w:top w:w="15" w:type="dxa"/>
              <w:left w:w="15" w:type="dxa"/>
              <w:bottom w:w="0" w:type="dxa"/>
              <w:right w:w="15" w:type="dxa"/>
            </w:tcMar>
          </w:tcPr>
          <w:p w:rsidR="00E3567D">
            <w:pPr>
              <w:adjustRightInd w:val="0"/>
              <w:snapToGrid w:val="0"/>
              <w:jc w:val="center"/>
              <w:rPr>
                <w:rFonts w:ascii="仿宋" w:eastAsia="仿宋" w:hAnsi="仿宋"/>
                <w:sz w:val="24"/>
              </w:rPr>
            </w:pPr>
            <w:r>
              <w:rPr>
                <w:rFonts w:ascii="仿宋" w:eastAsia="仿宋" w:hAnsi="仿宋" w:hint="eastAsia"/>
                <w:sz w:val="24"/>
              </w:rPr>
              <w:t>金额（元）</w:t>
            </w:r>
          </w:p>
        </w:tc>
        <w:tc>
          <w:tcPr>
            <w:tcW w:w="2324" w:type="dxa"/>
            <w:tcMar>
              <w:top w:w="15" w:type="dxa"/>
              <w:left w:w="15" w:type="dxa"/>
              <w:bottom w:w="0" w:type="dxa"/>
              <w:right w:w="15" w:type="dxa"/>
            </w:tcMar>
          </w:tcPr>
          <w:p w:rsidR="00E3567D">
            <w:pPr>
              <w:adjustRightInd w:val="0"/>
              <w:snapToGrid w:val="0"/>
              <w:jc w:val="center"/>
              <w:rPr>
                <w:rFonts w:ascii="仿宋" w:eastAsia="仿宋" w:hAnsi="仿宋"/>
                <w:sz w:val="24"/>
              </w:rPr>
            </w:pPr>
            <w:r>
              <w:rPr>
                <w:rFonts w:ascii="仿宋" w:eastAsia="仿宋" w:hAnsi="仿宋" w:hint="eastAsia"/>
                <w:sz w:val="24"/>
              </w:rPr>
              <w:t>占资产净值比例（％）</w:t>
            </w:r>
          </w:p>
        </w:tc>
      </w:tr>
      <w:tr>
        <w:tblPrEx>
          <w:tblW w:w="9019" w:type="dxa"/>
          <w:tblInd w:w="-5" w:type="dxa"/>
          <w:tblLayout w:type="fixed"/>
          <w:tblCellMar>
            <w:left w:w="0" w:type="dxa"/>
            <w:right w:w="0" w:type="dxa"/>
          </w:tblCellMar>
          <w:tblLook w:val="04A0"/>
        </w:tblPrEx>
        <w:tc>
          <w:tcPr>
            <w:tcW w:w="572"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1</w:t>
            </w:r>
          </w:p>
        </w:tc>
        <w:tc>
          <w:tcPr>
            <w:tcW w:w="3798"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24交通银行CD087</w:t>
            </w:r>
          </w:p>
        </w:tc>
        <w:tc>
          <w:tcPr>
            <w:tcW w:w="2325"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667,383.46</w:t>
            </w:r>
          </w:p>
        </w:tc>
        <w:tc>
          <w:tcPr>
            <w:tcW w:w="2324"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5.18</w:t>
            </w:r>
          </w:p>
        </w:tc>
      </w:tr>
      <w:tr>
        <w:tblPrEx>
          <w:tblW w:w="9019" w:type="dxa"/>
          <w:tblInd w:w="-5" w:type="dxa"/>
          <w:tblLayout w:type="fixed"/>
          <w:tblCellMar>
            <w:left w:w="0" w:type="dxa"/>
            <w:right w:w="0" w:type="dxa"/>
          </w:tblCellMar>
          <w:tblLook w:val="04A0"/>
        </w:tblPrEx>
        <w:tc>
          <w:tcPr>
            <w:tcW w:w="572"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2</w:t>
            </w:r>
          </w:p>
        </w:tc>
        <w:tc>
          <w:tcPr>
            <w:tcW w:w="3798"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24工商银行CD047</w:t>
            </w:r>
          </w:p>
        </w:tc>
        <w:tc>
          <w:tcPr>
            <w:tcW w:w="2325"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333,861.69</w:t>
            </w:r>
          </w:p>
        </w:tc>
        <w:tc>
          <w:tcPr>
            <w:tcW w:w="2324"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2.59</w:t>
            </w:r>
          </w:p>
        </w:tc>
      </w:tr>
      <w:tr>
        <w:tblPrEx>
          <w:tblW w:w="9019" w:type="dxa"/>
          <w:tblInd w:w="-5" w:type="dxa"/>
          <w:tblLayout w:type="fixed"/>
          <w:tblCellMar>
            <w:left w:w="0" w:type="dxa"/>
            <w:right w:w="0" w:type="dxa"/>
          </w:tblCellMar>
          <w:tblLook w:val="04A0"/>
        </w:tblPrEx>
        <w:tc>
          <w:tcPr>
            <w:tcW w:w="572"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3</w:t>
            </w:r>
          </w:p>
        </w:tc>
        <w:tc>
          <w:tcPr>
            <w:tcW w:w="3798"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24兴业银行CD147</w:t>
            </w:r>
          </w:p>
        </w:tc>
        <w:tc>
          <w:tcPr>
            <w:tcW w:w="2325"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333,845.35</w:t>
            </w:r>
          </w:p>
        </w:tc>
        <w:tc>
          <w:tcPr>
            <w:tcW w:w="2324"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2.59</w:t>
            </w:r>
          </w:p>
        </w:tc>
      </w:tr>
      <w:tr>
        <w:tblPrEx>
          <w:tblW w:w="9019" w:type="dxa"/>
          <w:tblInd w:w="-5" w:type="dxa"/>
          <w:tblLayout w:type="fixed"/>
          <w:tblCellMar>
            <w:left w:w="0" w:type="dxa"/>
            <w:right w:w="0" w:type="dxa"/>
          </w:tblCellMar>
          <w:tblLook w:val="04A0"/>
        </w:tblPrEx>
        <w:tc>
          <w:tcPr>
            <w:tcW w:w="572"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4</w:t>
            </w:r>
          </w:p>
        </w:tc>
        <w:tc>
          <w:tcPr>
            <w:tcW w:w="3798"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24工商银行CD055</w:t>
            </w:r>
          </w:p>
        </w:tc>
        <w:tc>
          <w:tcPr>
            <w:tcW w:w="2325"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333,805.17</w:t>
            </w:r>
          </w:p>
        </w:tc>
        <w:tc>
          <w:tcPr>
            <w:tcW w:w="2324"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2.59</w:t>
            </w:r>
          </w:p>
        </w:tc>
      </w:tr>
      <w:tr>
        <w:tblPrEx>
          <w:tblW w:w="9019" w:type="dxa"/>
          <w:tblInd w:w="-5" w:type="dxa"/>
          <w:tblLayout w:type="fixed"/>
          <w:tblCellMar>
            <w:left w:w="0" w:type="dxa"/>
            <w:right w:w="0" w:type="dxa"/>
          </w:tblCellMar>
          <w:tblLook w:val="04A0"/>
        </w:tblPrEx>
        <w:tc>
          <w:tcPr>
            <w:tcW w:w="572"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5</w:t>
            </w:r>
          </w:p>
        </w:tc>
        <w:tc>
          <w:tcPr>
            <w:tcW w:w="3798"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24中信银行CD172</w:t>
            </w:r>
          </w:p>
        </w:tc>
        <w:tc>
          <w:tcPr>
            <w:tcW w:w="2325"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333,802.47</w:t>
            </w:r>
          </w:p>
        </w:tc>
        <w:tc>
          <w:tcPr>
            <w:tcW w:w="2324"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2.59</w:t>
            </w:r>
          </w:p>
        </w:tc>
      </w:tr>
      <w:tr>
        <w:tblPrEx>
          <w:tblW w:w="9019" w:type="dxa"/>
          <w:tblInd w:w="-5" w:type="dxa"/>
          <w:tblLayout w:type="fixed"/>
          <w:tblCellMar>
            <w:left w:w="0" w:type="dxa"/>
            <w:right w:w="0" w:type="dxa"/>
          </w:tblCellMar>
          <w:tblLook w:val="04A0"/>
        </w:tblPrEx>
        <w:tc>
          <w:tcPr>
            <w:tcW w:w="572"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6</w:t>
            </w:r>
          </w:p>
        </w:tc>
        <w:tc>
          <w:tcPr>
            <w:tcW w:w="3798"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24光大银行CD093</w:t>
            </w:r>
          </w:p>
        </w:tc>
        <w:tc>
          <w:tcPr>
            <w:tcW w:w="2325"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333,802.47</w:t>
            </w:r>
          </w:p>
        </w:tc>
        <w:tc>
          <w:tcPr>
            <w:tcW w:w="2324"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2.59</w:t>
            </w:r>
          </w:p>
        </w:tc>
      </w:tr>
      <w:tr>
        <w:tblPrEx>
          <w:tblW w:w="9019" w:type="dxa"/>
          <w:tblInd w:w="-5" w:type="dxa"/>
          <w:tblLayout w:type="fixed"/>
          <w:tblCellMar>
            <w:left w:w="0" w:type="dxa"/>
            <w:right w:w="0" w:type="dxa"/>
          </w:tblCellMar>
          <w:tblLook w:val="04A0"/>
        </w:tblPrEx>
        <w:tc>
          <w:tcPr>
            <w:tcW w:w="572"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7</w:t>
            </w:r>
          </w:p>
        </w:tc>
        <w:tc>
          <w:tcPr>
            <w:tcW w:w="3798"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24农业银行CD024</w:t>
            </w:r>
          </w:p>
        </w:tc>
        <w:tc>
          <w:tcPr>
            <w:tcW w:w="2325"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333,780.06</w:t>
            </w:r>
          </w:p>
        </w:tc>
        <w:tc>
          <w:tcPr>
            <w:tcW w:w="2324"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2.59</w:t>
            </w:r>
          </w:p>
        </w:tc>
      </w:tr>
      <w:tr>
        <w:tblPrEx>
          <w:tblW w:w="9019" w:type="dxa"/>
          <w:tblInd w:w="-5" w:type="dxa"/>
          <w:tblLayout w:type="fixed"/>
          <w:tblCellMar>
            <w:left w:w="0" w:type="dxa"/>
            <w:right w:w="0" w:type="dxa"/>
          </w:tblCellMar>
          <w:tblLook w:val="04A0"/>
        </w:tblPrEx>
        <w:tc>
          <w:tcPr>
            <w:tcW w:w="572"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8</w:t>
            </w:r>
          </w:p>
        </w:tc>
        <w:tc>
          <w:tcPr>
            <w:tcW w:w="3798"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24兴业银行CD046</w:t>
            </w:r>
          </w:p>
        </w:tc>
        <w:tc>
          <w:tcPr>
            <w:tcW w:w="2325"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333,777.70</w:t>
            </w:r>
          </w:p>
        </w:tc>
        <w:tc>
          <w:tcPr>
            <w:tcW w:w="2324"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2.59</w:t>
            </w:r>
          </w:p>
        </w:tc>
      </w:tr>
      <w:tr>
        <w:tblPrEx>
          <w:tblW w:w="9019" w:type="dxa"/>
          <w:tblInd w:w="-5" w:type="dxa"/>
          <w:tblLayout w:type="fixed"/>
          <w:tblCellMar>
            <w:left w:w="0" w:type="dxa"/>
            <w:right w:w="0" w:type="dxa"/>
          </w:tblCellMar>
          <w:tblLook w:val="04A0"/>
        </w:tblPrEx>
        <w:tc>
          <w:tcPr>
            <w:tcW w:w="572"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9</w:t>
            </w:r>
          </w:p>
        </w:tc>
        <w:tc>
          <w:tcPr>
            <w:tcW w:w="3798"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24浦发银行CD072</w:t>
            </w:r>
          </w:p>
        </w:tc>
        <w:tc>
          <w:tcPr>
            <w:tcW w:w="2325"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333,777.70</w:t>
            </w:r>
          </w:p>
        </w:tc>
        <w:tc>
          <w:tcPr>
            <w:tcW w:w="2324"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2.59</w:t>
            </w:r>
          </w:p>
        </w:tc>
      </w:tr>
      <w:tr>
        <w:tblPrEx>
          <w:tblW w:w="9019" w:type="dxa"/>
          <w:tblInd w:w="-5" w:type="dxa"/>
          <w:tblLayout w:type="fixed"/>
          <w:tblCellMar>
            <w:left w:w="0" w:type="dxa"/>
            <w:right w:w="0" w:type="dxa"/>
          </w:tblCellMar>
          <w:tblLook w:val="04A0"/>
        </w:tblPrEx>
        <w:tc>
          <w:tcPr>
            <w:tcW w:w="572"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10</w:t>
            </w:r>
          </w:p>
        </w:tc>
        <w:tc>
          <w:tcPr>
            <w:tcW w:w="3798"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24中国银行CD009</w:t>
            </w:r>
          </w:p>
        </w:tc>
        <w:tc>
          <w:tcPr>
            <w:tcW w:w="2325"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333,765.99</w:t>
            </w:r>
          </w:p>
        </w:tc>
        <w:tc>
          <w:tcPr>
            <w:tcW w:w="2324"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2.59</w:t>
            </w:r>
          </w:p>
        </w:tc>
      </w:tr>
    </w:tbl>
    <w:p w:rsidR="00E3567D">
      <w:pPr>
        <w:adjustRightInd w:val="0"/>
        <w:snapToGrid w:val="0"/>
        <w:spacing w:line="440" w:lineRule="exact"/>
        <w:outlineLvl w:val="2"/>
        <w:rPr>
          <w:rFonts w:ascii="仿宋" w:eastAsia="仿宋" w:hAnsi="仿宋"/>
          <w:b/>
          <w:sz w:val="24"/>
        </w:rPr>
      </w:pPr>
      <w:bookmarkStart w:id="14" w:name="_Toc382477192"/>
      <w:r>
        <w:rPr>
          <w:rFonts w:ascii="仿宋" w:eastAsia="仿宋" w:hAnsi="仿宋" w:hint="eastAsia"/>
          <w:b/>
          <w:sz w:val="24"/>
        </w:rPr>
        <w:t>4.</w:t>
      </w:r>
      <w:r>
        <w:rPr>
          <w:rFonts w:ascii="仿宋" w:eastAsia="仿宋" w:hAnsi="仿宋"/>
          <w:b/>
          <w:sz w:val="24"/>
        </w:rPr>
        <w:t>6</w:t>
      </w:r>
      <w:r>
        <w:rPr>
          <w:rFonts w:ascii="仿宋" w:eastAsia="仿宋" w:hAnsi="仿宋" w:hint="eastAsia"/>
          <w:b/>
          <w:sz w:val="24"/>
        </w:rPr>
        <w:t>报告期融资情况</w:t>
      </w:r>
      <w:bookmarkEnd w:id="14"/>
    </w:p>
    <w:p w:rsidR="00E3567D">
      <w:pPr>
        <w:adjustRightInd w:val="0"/>
        <w:snapToGrid w:val="0"/>
        <w:spacing w:line="440" w:lineRule="exact"/>
        <w:ind w:firstLine="6240" w:firstLineChars="2600"/>
        <w:jc w:val="right"/>
        <w:rPr>
          <w:rFonts w:ascii="仿宋" w:eastAsia="仿宋" w:hAnsi="仿宋" w:cs="仿宋"/>
          <w:sz w:val="24"/>
        </w:rPr>
      </w:pPr>
      <w:r>
        <w:rPr>
          <w:rFonts w:ascii="仿宋" w:eastAsia="仿宋" w:hAnsi="仿宋" w:cs="仿宋" w:hint="eastAsia"/>
          <w:sz w:val="24"/>
        </w:rPr>
        <w:t>单位：人民币元</w:t>
      </w:r>
    </w:p>
    <w:tbl>
      <w:tblPr>
        <w:tblW w:w="8931" w:type="dxa"/>
        <w:tblInd w:w="-5" w:type="dxa"/>
        <w:tblLayout w:type="fixed"/>
        <w:tblCellMar>
          <w:left w:w="30" w:type="dxa"/>
          <w:right w:w="30" w:type="dxa"/>
        </w:tblCellMar>
        <w:tblLook w:val="04A0"/>
      </w:tblPr>
      <w:tblGrid>
        <w:gridCol w:w="567"/>
        <w:gridCol w:w="2977"/>
        <w:gridCol w:w="2268"/>
        <w:gridCol w:w="3119"/>
      </w:tblGrid>
      <w:tr>
        <w:tblPrEx>
          <w:tblW w:w="8931" w:type="dxa"/>
          <w:tblInd w:w="-5" w:type="dxa"/>
          <w:tblLayout w:type="fixed"/>
          <w:tblCellMar>
            <w:left w:w="30" w:type="dxa"/>
            <w:right w:w="30" w:type="dxa"/>
          </w:tblCellMar>
          <w:tblLook w:val="04A0"/>
        </w:tblPrEx>
        <w:trPr>
          <w:trHeight w:val="375"/>
        </w:trPr>
        <w:tc>
          <w:tcPr>
            <w:tcW w:w="567" w:type="dxa"/>
            <w:tcBorders>
              <w:top w:val="single" w:sz="4" w:space="0" w:color="auto"/>
              <w:left w:val="single" w:sz="4" w:space="0" w:color="auto"/>
              <w:bottom w:val="single" w:sz="4" w:space="0" w:color="auto"/>
              <w:right w:val="single" w:sz="4" w:space="0" w:color="auto"/>
            </w:tcBorders>
          </w:tcPr>
          <w:p w:rsidR="00E3567D">
            <w:pPr>
              <w:adjustRightInd w:val="0"/>
              <w:snapToGrid w:val="0"/>
              <w:jc w:val="center"/>
              <w:rPr>
                <w:rFonts w:ascii="仿宋" w:eastAsia="仿宋" w:hAnsi="仿宋"/>
                <w:sz w:val="24"/>
              </w:rPr>
            </w:pPr>
            <w:r>
              <w:rPr>
                <w:rFonts w:ascii="仿宋" w:eastAsia="仿宋" w:hAnsi="仿宋" w:hint="eastAsia"/>
                <w:sz w:val="24"/>
              </w:rPr>
              <w:t>序号</w:t>
            </w:r>
          </w:p>
        </w:tc>
        <w:tc>
          <w:tcPr>
            <w:tcW w:w="2977" w:type="dxa"/>
            <w:tcBorders>
              <w:top w:val="single" w:sz="4" w:space="0" w:color="auto"/>
              <w:left w:val="single" w:sz="4" w:space="0" w:color="auto"/>
              <w:bottom w:val="single" w:sz="4" w:space="0" w:color="auto"/>
              <w:right w:val="single" w:sz="4" w:space="0" w:color="auto"/>
            </w:tcBorders>
          </w:tcPr>
          <w:p w:rsidR="00E3567D">
            <w:pPr>
              <w:adjustRightInd w:val="0"/>
              <w:snapToGrid w:val="0"/>
              <w:jc w:val="center"/>
              <w:rPr>
                <w:rFonts w:ascii="仿宋" w:eastAsia="仿宋" w:hAnsi="仿宋"/>
                <w:sz w:val="24"/>
              </w:rPr>
            </w:pPr>
            <w:r>
              <w:rPr>
                <w:rFonts w:ascii="仿宋" w:eastAsia="仿宋" w:hAnsi="仿宋" w:hint="eastAsia"/>
                <w:sz w:val="24"/>
              </w:rPr>
              <w:t>项目</w:t>
            </w:r>
          </w:p>
        </w:tc>
        <w:tc>
          <w:tcPr>
            <w:tcW w:w="2268" w:type="dxa"/>
            <w:tcBorders>
              <w:top w:val="single" w:sz="4" w:space="0" w:color="auto"/>
              <w:left w:val="single" w:sz="4" w:space="0" w:color="auto"/>
              <w:bottom w:val="single" w:sz="4" w:space="0" w:color="auto"/>
              <w:right w:val="single" w:sz="4" w:space="0" w:color="auto"/>
            </w:tcBorders>
          </w:tcPr>
          <w:p w:rsidR="00E3567D">
            <w:pPr>
              <w:adjustRightInd w:val="0"/>
              <w:snapToGrid w:val="0"/>
              <w:jc w:val="center"/>
              <w:rPr>
                <w:rFonts w:ascii="仿宋" w:eastAsia="仿宋" w:hAnsi="仿宋"/>
                <w:sz w:val="24"/>
              </w:rPr>
            </w:pPr>
            <w:r>
              <w:rPr>
                <w:rFonts w:ascii="仿宋" w:eastAsia="仿宋" w:hAnsi="仿宋" w:hint="eastAsia"/>
                <w:sz w:val="24"/>
              </w:rPr>
              <w:t>金额（元）</w:t>
            </w:r>
          </w:p>
        </w:tc>
        <w:tc>
          <w:tcPr>
            <w:tcW w:w="3119" w:type="dxa"/>
            <w:tcBorders>
              <w:top w:val="single" w:sz="4" w:space="0" w:color="auto"/>
              <w:left w:val="single" w:sz="4" w:space="0" w:color="auto"/>
              <w:bottom w:val="single" w:sz="4" w:space="0" w:color="auto"/>
              <w:right w:val="single" w:sz="4" w:space="0" w:color="auto"/>
            </w:tcBorders>
          </w:tcPr>
          <w:p w:rsidR="00E3567D">
            <w:pPr>
              <w:adjustRightInd w:val="0"/>
              <w:snapToGrid w:val="0"/>
              <w:jc w:val="center"/>
              <w:rPr>
                <w:rFonts w:ascii="仿宋" w:eastAsia="仿宋" w:hAnsi="仿宋"/>
                <w:sz w:val="24"/>
              </w:rPr>
            </w:pPr>
            <w:r>
              <w:rPr>
                <w:rFonts w:ascii="仿宋" w:eastAsia="仿宋" w:hAnsi="仿宋" w:hint="eastAsia"/>
                <w:sz w:val="24"/>
              </w:rPr>
              <w:t>占资产净值比例（％）</w:t>
            </w:r>
          </w:p>
        </w:tc>
      </w:tr>
      <w:tr>
        <w:tblPrEx>
          <w:tblW w:w="8931" w:type="dxa"/>
          <w:tblInd w:w="-5" w:type="dxa"/>
          <w:tblLayout w:type="fixed"/>
          <w:tblCellMar>
            <w:left w:w="30" w:type="dxa"/>
            <w:right w:w="30" w:type="dxa"/>
          </w:tblCellMar>
          <w:tblLook w:val="04A0"/>
        </w:tblPrEx>
        <w:trPr>
          <w:trHeight w:val="295"/>
        </w:trPr>
        <w:tc>
          <w:tcPr>
            <w:tcW w:w="567" w:type="dxa"/>
            <w:tcBorders>
              <w:top w:val="single" w:sz="4" w:space="0" w:color="auto"/>
              <w:left w:val="single" w:sz="4" w:space="0" w:color="auto"/>
              <w:bottom w:val="single" w:sz="4" w:space="0" w:color="auto"/>
              <w:right w:val="single" w:sz="4" w:space="0" w:color="auto"/>
            </w:tcBorders>
          </w:tcPr>
          <w:p w:rsidR="00E3567D">
            <w:pPr>
              <w:adjustRightInd w:val="0"/>
              <w:snapToGrid w:val="0"/>
              <w:jc w:val="center"/>
              <w:rPr>
                <w:rFonts w:ascii="仿宋" w:eastAsia="仿宋" w:hAnsi="仿宋"/>
                <w:sz w:val="24"/>
              </w:rPr>
            </w:pPr>
            <w:r>
              <w:rPr>
                <w:rFonts w:ascii="仿宋" w:eastAsia="仿宋" w:hAnsi="仿宋" w:hint="eastAsia"/>
                <w:sz w:val="24"/>
              </w:rPr>
              <w:t>1</w:t>
            </w:r>
          </w:p>
        </w:tc>
        <w:tc>
          <w:tcPr>
            <w:tcW w:w="2977"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报告期末质押式回购余额</w:t>
            </w:r>
          </w:p>
        </w:tc>
        <w:tc>
          <w:tcPr>
            <w:tcW w:w="2268"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color w:val="0000FF"/>
                <w:kern w:val="0"/>
                <w:sz w:val="24"/>
              </w:rPr>
            </w:pPr>
            <w:r>
              <w:rPr>
                <w:rFonts w:ascii="仿宋" w:eastAsia="仿宋" w:hAnsi="仿宋" w:hint="eastAsia"/>
                <w:kern w:val="0"/>
                <w:sz w:val="24"/>
              </w:rPr>
              <w:t>0.00</w:t>
            </w:r>
          </w:p>
        </w:tc>
        <w:tc>
          <w:tcPr>
            <w:tcW w:w="3119"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color w:val="0000FF"/>
                <w:kern w:val="0"/>
                <w:sz w:val="24"/>
              </w:rPr>
            </w:pPr>
            <w:r>
              <w:rPr>
                <w:rFonts w:ascii="仿宋" w:eastAsia="仿宋" w:hAnsi="仿宋" w:hint="eastAsia"/>
                <w:kern w:val="0"/>
                <w:sz w:val="24"/>
              </w:rPr>
              <w:t>0.00</w:t>
            </w:r>
          </w:p>
        </w:tc>
      </w:tr>
      <w:tr>
        <w:tblPrEx>
          <w:tblW w:w="8931" w:type="dxa"/>
          <w:tblInd w:w="-5" w:type="dxa"/>
          <w:tblLayout w:type="fixed"/>
          <w:tblCellMar>
            <w:left w:w="30" w:type="dxa"/>
            <w:right w:w="30" w:type="dxa"/>
          </w:tblCellMar>
          <w:tblLook w:val="04A0"/>
        </w:tblPrEx>
        <w:trPr>
          <w:trHeight w:val="295"/>
        </w:trPr>
        <w:tc>
          <w:tcPr>
            <w:tcW w:w="567" w:type="dxa"/>
            <w:tcBorders>
              <w:top w:val="single" w:sz="4" w:space="0" w:color="auto"/>
              <w:left w:val="single" w:sz="4" w:space="0" w:color="auto"/>
              <w:bottom w:val="single" w:sz="4" w:space="0" w:color="auto"/>
              <w:right w:val="single" w:sz="4" w:space="0" w:color="auto"/>
            </w:tcBorders>
          </w:tcPr>
          <w:p w:rsidR="00E3567D">
            <w:pPr>
              <w:adjustRightInd w:val="0"/>
              <w:snapToGrid w:val="0"/>
              <w:jc w:val="center"/>
              <w:rPr>
                <w:rFonts w:ascii="仿宋" w:eastAsia="仿宋" w:hAnsi="仿宋"/>
                <w:sz w:val="24"/>
              </w:rPr>
            </w:pPr>
            <w:r>
              <w:rPr>
                <w:rFonts w:ascii="仿宋" w:eastAsia="仿宋" w:hAnsi="仿宋" w:hint="eastAsia"/>
                <w:sz w:val="24"/>
              </w:rPr>
              <w:t>2</w:t>
            </w:r>
          </w:p>
        </w:tc>
        <w:tc>
          <w:tcPr>
            <w:tcW w:w="2977"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报告期末同业拆入余额</w:t>
            </w:r>
          </w:p>
        </w:tc>
        <w:tc>
          <w:tcPr>
            <w:tcW w:w="2268"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color w:val="0000FF"/>
                <w:kern w:val="0"/>
                <w:sz w:val="24"/>
              </w:rPr>
            </w:pPr>
            <w:r>
              <w:rPr>
                <w:rFonts w:ascii="仿宋" w:eastAsia="仿宋" w:hAnsi="仿宋" w:hint="eastAsia"/>
                <w:kern w:val="0"/>
                <w:sz w:val="24"/>
              </w:rPr>
              <w:t>0.00</w:t>
            </w:r>
          </w:p>
        </w:tc>
        <w:tc>
          <w:tcPr>
            <w:tcW w:w="3119"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color w:val="0000FF"/>
                <w:kern w:val="0"/>
                <w:sz w:val="24"/>
              </w:rPr>
            </w:pPr>
            <w:r>
              <w:rPr>
                <w:rFonts w:ascii="仿宋" w:eastAsia="仿宋" w:hAnsi="仿宋" w:hint="eastAsia"/>
                <w:kern w:val="0"/>
                <w:sz w:val="24"/>
              </w:rPr>
              <w:t>0.00</w:t>
            </w:r>
          </w:p>
        </w:tc>
      </w:tr>
      <w:tr>
        <w:tblPrEx>
          <w:tblW w:w="8931" w:type="dxa"/>
          <w:tblInd w:w="-5" w:type="dxa"/>
          <w:tblLayout w:type="fixed"/>
          <w:tblCellMar>
            <w:left w:w="30" w:type="dxa"/>
            <w:right w:w="30" w:type="dxa"/>
          </w:tblCellMar>
          <w:tblLook w:val="04A0"/>
        </w:tblPrEx>
        <w:trPr>
          <w:trHeight w:val="295"/>
        </w:trPr>
        <w:tc>
          <w:tcPr>
            <w:tcW w:w="567" w:type="dxa"/>
            <w:tcBorders>
              <w:top w:val="single" w:sz="4" w:space="0" w:color="auto"/>
              <w:left w:val="single" w:sz="4" w:space="0" w:color="auto"/>
              <w:bottom w:val="single" w:sz="4" w:space="0" w:color="auto"/>
              <w:right w:val="single" w:sz="4" w:space="0" w:color="auto"/>
            </w:tcBorders>
          </w:tcPr>
          <w:p w:rsidR="00E3567D">
            <w:pPr>
              <w:adjustRightInd w:val="0"/>
              <w:snapToGrid w:val="0"/>
              <w:jc w:val="center"/>
              <w:rPr>
                <w:rFonts w:ascii="仿宋" w:eastAsia="仿宋" w:hAnsi="仿宋"/>
                <w:sz w:val="24"/>
              </w:rPr>
            </w:pPr>
            <w:r>
              <w:rPr>
                <w:rFonts w:ascii="仿宋" w:eastAsia="仿宋" w:hAnsi="仿宋" w:hint="eastAsia"/>
                <w:sz w:val="24"/>
              </w:rPr>
              <w:t>3</w:t>
            </w:r>
          </w:p>
        </w:tc>
        <w:tc>
          <w:tcPr>
            <w:tcW w:w="2977"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其他</w:t>
            </w:r>
          </w:p>
        </w:tc>
        <w:tc>
          <w:tcPr>
            <w:tcW w:w="2268"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color w:val="0000FF"/>
                <w:kern w:val="0"/>
                <w:sz w:val="24"/>
              </w:rPr>
            </w:pPr>
            <w:r>
              <w:rPr>
                <w:rFonts w:ascii="仿宋" w:eastAsia="仿宋" w:hAnsi="仿宋" w:hint="eastAsia"/>
                <w:kern w:val="0"/>
                <w:sz w:val="24"/>
              </w:rPr>
              <w:t>0.00</w:t>
            </w:r>
          </w:p>
        </w:tc>
        <w:tc>
          <w:tcPr>
            <w:tcW w:w="3119"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color w:val="0000FF"/>
                <w:kern w:val="0"/>
                <w:sz w:val="24"/>
              </w:rPr>
            </w:pPr>
            <w:r>
              <w:rPr>
                <w:rFonts w:ascii="仿宋" w:eastAsia="仿宋" w:hAnsi="仿宋" w:hint="eastAsia"/>
                <w:kern w:val="0"/>
                <w:sz w:val="24"/>
              </w:rPr>
              <w:t>0.00</w:t>
            </w:r>
          </w:p>
        </w:tc>
      </w:tr>
    </w:tbl>
    <w:p w:rsidR="00E3567D">
      <w:pPr>
        <w:adjustRightInd w:val="0"/>
        <w:snapToGrid w:val="0"/>
        <w:spacing w:line="380" w:lineRule="exact"/>
        <w:rPr>
          <w:rFonts w:ascii="仿宋" w:eastAsia="仿宋" w:hAnsi="仿宋"/>
          <w:color w:val="0000FF"/>
          <w:kern w:val="0"/>
          <w:sz w:val="24"/>
          <w:highlight w:val="yellow"/>
        </w:rPr>
      </w:pPr>
    </w:p>
    <w:p w:rsidR="00E3567D">
      <w:pPr>
        <w:pStyle w:val="Heading2"/>
        <w:adjustRightInd w:val="0"/>
        <w:snapToGrid w:val="0"/>
        <w:spacing w:line="560" w:lineRule="exact"/>
        <w:jc w:val="center"/>
        <w:rPr>
          <w:rFonts w:ascii="仿宋" w:eastAsia="仿宋" w:hAnsi="仿宋"/>
          <w:sz w:val="24"/>
        </w:rPr>
      </w:pPr>
      <w:bookmarkStart w:id="15" w:name="_Toc875610473"/>
      <w:r>
        <w:rPr>
          <w:rFonts w:ascii="仿宋" w:eastAsia="仿宋" w:hAnsi="仿宋" w:hint="eastAsia"/>
          <w:sz w:val="24"/>
        </w:rPr>
        <w:t>§5  产品份额变动</w:t>
      </w:r>
      <w:bookmarkEnd w:id="15"/>
    </w:p>
    <w:p w:rsidR="00E3567D">
      <w:pPr>
        <w:adjustRightInd w:val="0"/>
        <w:snapToGrid w:val="0"/>
        <w:spacing w:line="440" w:lineRule="exact"/>
        <w:ind w:firstLine="6240" w:firstLineChars="2600"/>
        <w:jc w:val="right"/>
        <w:rPr>
          <w:rFonts w:ascii="仿宋" w:eastAsia="仿宋" w:hAnsi="仿宋" w:cs="仿宋"/>
          <w:sz w:val="24"/>
        </w:rPr>
      </w:pPr>
      <w:r>
        <w:rPr>
          <w:rFonts w:ascii="仿宋" w:eastAsia="仿宋" w:hAnsi="仿宋" w:cs="仿宋" w:hint="eastAsia"/>
          <w:sz w:val="24"/>
        </w:rPr>
        <w:t>单位：份</w:t>
      </w:r>
    </w:p>
    <w:tbl>
      <w:tblPr>
        <w:tblW w:w="893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263"/>
        <w:gridCol w:w="4668"/>
      </w:tblGrid>
      <w:tr>
        <w:tblPrEx>
          <w:tblW w:w="893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c>
          <w:tcPr>
            <w:tcW w:w="4263" w:type="dxa"/>
            <w:tcBorders>
              <w:top w:val="single" w:sz="4" w:space="0" w:color="auto"/>
              <w:left w:val="single" w:sz="4" w:space="0" w:color="auto"/>
              <w:bottom w:val="single" w:sz="4" w:space="0" w:color="auto"/>
              <w:right w:val="single" w:sz="4" w:space="0" w:color="auto"/>
            </w:tcBorders>
          </w:tcPr>
          <w:p w:rsidR="00E3567D">
            <w:pPr>
              <w:adjustRightInd w:val="0"/>
              <w:snapToGrid w:val="0"/>
              <w:rPr>
                <w:rFonts w:ascii="仿宋" w:eastAsia="仿宋" w:hAnsi="仿宋"/>
                <w:color w:val="000000"/>
                <w:sz w:val="24"/>
              </w:rPr>
            </w:pPr>
            <w:r>
              <w:rPr>
                <w:rFonts w:ascii="仿宋" w:eastAsia="仿宋" w:hAnsi="仿宋" w:hint="eastAsia"/>
                <w:color w:val="000000"/>
                <w:sz w:val="24"/>
              </w:rPr>
              <w:t>报告期期初产品份额总额</w:t>
            </w:r>
          </w:p>
        </w:tc>
        <w:tc>
          <w:tcPr>
            <w:tcW w:w="4668" w:type="dxa"/>
            <w:tcBorders>
              <w:top w:val="single" w:sz="4" w:space="0" w:color="auto"/>
              <w:left w:val="single" w:sz="4" w:space="0" w:color="auto"/>
              <w:bottom w:val="single" w:sz="4" w:space="0" w:color="auto"/>
              <w:right w:val="single" w:sz="4" w:space="0" w:color="auto"/>
            </w:tcBorders>
          </w:tcPr>
          <w:p w:rsidR="00E3567D">
            <w:pPr>
              <w:adjustRightInd w:val="0"/>
              <w:snapToGrid w:val="0"/>
              <w:jc w:val="right"/>
              <w:rPr>
                <w:rFonts w:ascii="仿宋" w:eastAsia="仿宋" w:hAnsi="仿宋"/>
                <w:color w:val="0000FF"/>
                <w:kern w:val="0"/>
                <w:sz w:val="24"/>
              </w:rPr>
            </w:pPr>
            <w:r>
              <w:rPr>
                <w:rFonts w:ascii="仿宋" w:eastAsia="仿宋" w:hAnsi="仿宋" w:hint="eastAsia"/>
                <w:color w:val="000000"/>
                <w:sz w:val="24"/>
              </w:rPr>
              <w:t>19,306,574.89</w:t>
            </w:r>
          </w:p>
        </w:tc>
      </w:tr>
      <w:tr>
        <w:tblPrEx>
          <w:tblW w:w="8931" w:type="dxa"/>
          <w:tblInd w:w="-5" w:type="dxa"/>
          <w:tblLayout w:type="fixed"/>
          <w:tblLook w:val="04A0"/>
        </w:tblPrEx>
        <w:tc>
          <w:tcPr>
            <w:tcW w:w="4263" w:type="dxa"/>
            <w:tcBorders>
              <w:top w:val="single" w:sz="4" w:space="0" w:color="auto"/>
              <w:left w:val="single" w:sz="4" w:space="0" w:color="auto"/>
              <w:bottom w:val="single" w:sz="4" w:space="0" w:color="auto"/>
              <w:right w:val="single" w:sz="4" w:space="0" w:color="auto"/>
            </w:tcBorders>
          </w:tcPr>
          <w:p w:rsidR="00E3567D">
            <w:pPr>
              <w:adjustRightInd w:val="0"/>
              <w:snapToGrid w:val="0"/>
              <w:rPr>
                <w:rFonts w:ascii="仿宋" w:eastAsia="仿宋" w:hAnsi="仿宋"/>
                <w:color w:val="000000"/>
                <w:sz w:val="24"/>
              </w:rPr>
            </w:pPr>
            <w:r>
              <w:rPr>
                <w:rFonts w:ascii="仿宋" w:eastAsia="仿宋" w:hAnsi="仿宋" w:hint="eastAsia"/>
                <w:color w:val="000000"/>
                <w:sz w:val="24"/>
              </w:rPr>
              <w:t>报告期期末产品份额总额</w:t>
            </w:r>
          </w:p>
        </w:tc>
        <w:tc>
          <w:tcPr>
            <w:tcW w:w="4668" w:type="dxa"/>
            <w:tcBorders>
              <w:top w:val="single" w:sz="4" w:space="0" w:color="auto"/>
              <w:left w:val="single" w:sz="4" w:space="0" w:color="auto"/>
              <w:bottom w:val="single" w:sz="4" w:space="0" w:color="auto"/>
              <w:right w:val="single" w:sz="4" w:space="0" w:color="auto"/>
            </w:tcBorders>
          </w:tcPr>
          <w:p w:rsidR="00E3567D">
            <w:pPr>
              <w:adjustRightInd w:val="0"/>
              <w:snapToGrid w:val="0"/>
              <w:jc w:val="right"/>
              <w:rPr>
                <w:rFonts w:ascii="仿宋" w:eastAsia="仿宋" w:hAnsi="仿宋"/>
                <w:color w:val="0000FF"/>
                <w:kern w:val="0"/>
                <w:sz w:val="24"/>
              </w:rPr>
            </w:pPr>
            <w:r>
              <w:rPr>
                <w:rFonts w:ascii="仿宋" w:eastAsia="仿宋" w:hAnsi="仿宋" w:hint="eastAsia"/>
                <w:color w:val="000000"/>
                <w:sz w:val="24"/>
              </w:rPr>
              <w:t>12,880,481.17</w:t>
            </w:r>
          </w:p>
        </w:tc>
      </w:tr>
    </w:tbl>
    <w:p w:rsidR="00E3567D">
      <w:pPr>
        <w:rPr>
          <w:rFonts w:ascii="仿宋" w:eastAsia="仿宋" w:hAnsi="仿宋"/>
          <w:sz w:val="24"/>
        </w:rPr>
      </w:pPr>
    </w:p>
    <w:p w:rsidR="00E3567D">
      <w:pPr>
        <w:pStyle w:val="Heading2"/>
        <w:adjustRightInd w:val="0"/>
        <w:snapToGrid w:val="0"/>
        <w:spacing w:line="560" w:lineRule="exact"/>
        <w:jc w:val="center"/>
        <w:rPr>
          <w:rFonts w:ascii="仿宋" w:eastAsia="仿宋" w:hAnsi="仿宋"/>
          <w:sz w:val="24"/>
        </w:rPr>
      </w:pPr>
      <w:bookmarkStart w:id="16" w:name="_Toc1827270467"/>
      <w:r>
        <w:rPr>
          <w:rFonts w:ascii="仿宋" w:eastAsia="仿宋" w:hAnsi="仿宋" w:hint="eastAsia"/>
          <w:sz w:val="24"/>
        </w:rPr>
        <w:t>§6 前10名投资者信息</w:t>
      </w:r>
      <w:bookmarkEnd w:id="16"/>
    </w:p>
    <w:tbl>
      <w:tblPr>
        <w:tblW w:w="893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127"/>
        <w:gridCol w:w="4819"/>
        <w:gridCol w:w="1985"/>
      </w:tblGrid>
      <w:tr w:rsidTr="00F152BF">
        <w:tblPrEx>
          <w:tblW w:w="893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c>
          <w:tcPr>
            <w:tcW w:w="2127" w:type="dxa"/>
            <w:tcBorders>
              <w:top w:val="single" w:sz="4" w:space="0" w:color="auto"/>
              <w:left w:val="single" w:sz="4" w:space="0" w:color="auto"/>
              <w:bottom w:val="single" w:sz="4" w:space="0" w:color="auto"/>
              <w:right w:val="single" w:sz="4" w:space="0" w:color="auto"/>
            </w:tcBorders>
            <w:vAlign w:val="center"/>
          </w:tcPr>
          <w:p w:rsidR="00E3567D" w:rsidP="00F152BF">
            <w:pPr>
              <w:widowControl/>
              <w:adjustRightInd w:val="0"/>
              <w:snapToGrid w:val="0"/>
              <w:jc w:val="center"/>
              <w:rPr>
                <w:rFonts w:ascii="仿宋" w:eastAsia="仿宋" w:hAnsi="仿宋"/>
                <w:color w:val="000000"/>
                <w:sz w:val="24"/>
              </w:rPr>
            </w:pPr>
            <w:r>
              <w:rPr>
                <w:rFonts w:ascii="仿宋" w:eastAsia="仿宋" w:hAnsi="仿宋" w:cs="仿宋"/>
                <w:color w:val="000000"/>
                <w:sz w:val="24"/>
              </w:rPr>
              <w:t>机构类型</w:t>
            </w:r>
          </w:p>
        </w:tc>
        <w:tc>
          <w:tcPr>
            <w:tcW w:w="4819" w:type="dxa"/>
            <w:tcBorders>
              <w:top w:val="single" w:sz="4" w:space="0" w:color="auto"/>
              <w:left w:val="single" w:sz="4" w:space="0" w:color="auto"/>
              <w:bottom w:val="single" w:sz="4" w:space="0" w:color="auto"/>
              <w:right w:val="single" w:sz="4" w:space="0" w:color="auto"/>
            </w:tcBorders>
            <w:vAlign w:val="center"/>
          </w:tcPr>
          <w:p w:rsidR="00E3567D" w:rsidP="00F152BF">
            <w:pPr>
              <w:widowControl/>
              <w:adjustRightInd w:val="0"/>
              <w:snapToGrid w:val="0"/>
              <w:jc w:val="center"/>
              <w:rPr>
                <w:rFonts w:ascii="仿宋" w:eastAsia="仿宋" w:hAnsi="仿宋"/>
                <w:color w:val="000000"/>
                <w:sz w:val="24"/>
              </w:rPr>
            </w:pPr>
            <w:r>
              <w:rPr>
                <w:rFonts w:ascii="仿宋" w:eastAsia="仿宋" w:hAnsi="仿宋" w:hint="eastAsia"/>
                <w:color w:val="000000"/>
                <w:sz w:val="24"/>
              </w:rPr>
              <w:t>持有份额</w:t>
            </w:r>
          </w:p>
        </w:tc>
        <w:tc>
          <w:tcPr>
            <w:tcW w:w="1985" w:type="dxa"/>
            <w:tcBorders>
              <w:top w:val="single" w:sz="4" w:space="0" w:color="auto"/>
              <w:left w:val="single" w:sz="4" w:space="0" w:color="auto"/>
              <w:bottom w:val="single" w:sz="4" w:space="0" w:color="auto"/>
              <w:right w:val="single" w:sz="4" w:space="0" w:color="auto"/>
            </w:tcBorders>
            <w:vAlign w:val="center"/>
          </w:tcPr>
          <w:p w:rsidR="00E3567D" w:rsidP="00F152BF">
            <w:pPr>
              <w:widowControl/>
              <w:adjustRightInd w:val="0"/>
              <w:snapToGrid w:val="0"/>
              <w:jc w:val="center"/>
              <w:rPr>
                <w:rFonts w:ascii="仿宋" w:eastAsia="仿宋" w:hAnsi="仿宋"/>
                <w:color w:val="000000"/>
                <w:sz w:val="24"/>
              </w:rPr>
            </w:pPr>
            <w:r>
              <w:rPr>
                <w:rFonts w:ascii="仿宋" w:eastAsia="仿宋" w:hAnsi="仿宋" w:hint="eastAsia"/>
                <w:color w:val="000000"/>
                <w:sz w:val="24"/>
              </w:rPr>
              <w:t>份额占比</w:t>
            </w:r>
            <w:r>
              <w:rPr>
                <w:rFonts w:ascii="仿宋" w:eastAsia="仿宋" w:hAnsi="仿宋" w:hint="eastAsia"/>
                <w:sz w:val="24"/>
              </w:rPr>
              <w:t>（％）</w:t>
            </w:r>
          </w:p>
        </w:tc>
      </w:tr>
      <w:tr w:rsidTr="00F152BF">
        <w:tblPrEx>
          <w:tblW w:w="8931" w:type="dxa"/>
          <w:tblInd w:w="-5" w:type="dxa"/>
          <w:tblLayout w:type="fixed"/>
          <w:tblLook w:val="04A0"/>
        </w:tblPrEx>
        <w:tc>
          <w:tcPr>
            <w:tcW w:w="2127"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个人</w:t>
            </w:r>
          </w:p>
        </w:tc>
        <w:tc>
          <w:tcPr>
            <w:tcW w:w="4819"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232,692.83</w:t>
            </w:r>
          </w:p>
        </w:tc>
        <w:tc>
          <w:tcPr>
            <w:tcW w:w="1985"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1.81</w:t>
            </w:r>
          </w:p>
        </w:tc>
      </w:tr>
      <w:tr w:rsidTr="00F152BF">
        <w:tblPrEx>
          <w:tblW w:w="8931" w:type="dxa"/>
          <w:tblInd w:w="-5" w:type="dxa"/>
          <w:tblLayout w:type="fixed"/>
          <w:tblLook w:val="04A0"/>
        </w:tblPrEx>
        <w:tc>
          <w:tcPr>
            <w:tcW w:w="2127"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个人</w:t>
            </w:r>
          </w:p>
        </w:tc>
        <w:tc>
          <w:tcPr>
            <w:tcW w:w="4819"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130,866.16</w:t>
            </w:r>
          </w:p>
        </w:tc>
        <w:tc>
          <w:tcPr>
            <w:tcW w:w="1985"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1.02</w:t>
            </w:r>
          </w:p>
        </w:tc>
      </w:tr>
      <w:tr w:rsidTr="00F152BF">
        <w:tblPrEx>
          <w:tblW w:w="8931" w:type="dxa"/>
          <w:tblInd w:w="-5" w:type="dxa"/>
          <w:tblLayout w:type="fixed"/>
          <w:tblLook w:val="04A0"/>
        </w:tblPrEx>
        <w:tc>
          <w:tcPr>
            <w:tcW w:w="2127"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个人</w:t>
            </w:r>
          </w:p>
        </w:tc>
        <w:tc>
          <w:tcPr>
            <w:tcW w:w="4819"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130,746.95</w:t>
            </w:r>
          </w:p>
        </w:tc>
        <w:tc>
          <w:tcPr>
            <w:tcW w:w="1985"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1.02</w:t>
            </w:r>
          </w:p>
        </w:tc>
      </w:tr>
      <w:tr w:rsidTr="00F152BF">
        <w:tblPrEx>
          <w:tblW w:w="8931" w:type="dxa"/>
          <w:tblInd w:w="-5" w:type="dxa"/>
          <w:tblLayout w:type="fixed"/>
          <w:tblLook w:val="04A0"/>
        </w:tblPrEx>
        <w:tc>
          <w:tcPr>
            <w:tcW w:w="2127"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个人</w:t>
            </w:r>
          </w:p>
        </w:tc>
        <w:tc>
          <w:tcPr>
            <w:tcW w:w="4819"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100,702.42</w:t>
            </w:r>
          </w:p>
        </w:tc>
        <w:tc>
          <w:tcPr>
            <w:tcW w:w="1985"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0.78</w:t>
            </w:r>
          </w:p>
        </w:tc>
      </w:tr>
      <w:tr w:rsidTr="00F152BF">
        <w:tblPrEx>
          <w:tblW w:w="8931" w:type="dxa"/>
          <w:tblInd w:w="-5" w:type="dxa"/>
          <w:tblLayout w:type="fixed"/>
          <w:tblLook w:val="04A0"/>
        </w:tblPrEx>
        <w:tc>
          <w:tcPr>
            <w:tcW w:w="2127"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个人</w:t>
            </w:r>
          </w:p>
        </w:tc>
        <w:tc>
          <w:tcPr>
            <w:tcW w:w="4819"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90,581.22</w:t>
            </w:r>
          </w:p>
        </w:tc>
        <w:tc>
          <w:tcPr>
            <w:tcW w:w="1985"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0.70</w:t>
            </w:r>
          </w:p>
        </w:tc>
      </w:tr>
      <w:tr w:rsidTr="00F152BF">
        <w:tblPrEx>
          <w:tblW w:w="8931" w:type="dxa"/>
          <w:tblInd w:w="-5" w:type="dxa"/>
          <w:tblLayout w:type="fixed"/>
          <w:tblLook w:val="04A0"/>
        </w:tblPrEx>
        <w:tc>
          <w:tcPr>
            <w:tcW w:w="2127"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个人</w:t>
            </w:r>
          </w:p>
        </w:tc>
        <w:tc>
          <w:tcPr>
            <w:tcW w:w="4819"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70,523.64</w:t>
            </w:r>
          </w:p>
        </w:tc>
        <w:tc>
          <w:tcPr>
            <w:tcW w:w="1985"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0.55</w:t>
            </w:r>
          </w:p>
        </w:tc>
      </w:tr>
      <w:tr w:rsidTr="00F152BF">
        <w:tblPrEx>
          <w:tblW w:w="8931" w:type="dxa"/>
          <w:tblInd w:w="-5" w:type="dxa"/>
          <w:tblLayout w:type="fixed"/>
          <w:tblLook w:val="04A0"/>
        </w:tblPrEx>
        <w:tc>
          <w:tcPr>
            <w:tcW w:w="2127"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个人</w:t>
            </w:r>
          </w:p>
        </w:tc>
        <w:tc>
          <w:tcPr>
            <w:tcW w:w="4819"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69,188.46</w:t>
            </w:r>
          </w:p>
        </w:tc>
        <w:tc>
          <w:tcPr>
            <w:tcW w:w="1985"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0.54</w:t>
            </w:r>
          </w:p>
        </w:tc>
      </w:tr>
      <w:tr w:rsidTr="00F152BF">
        <w:tblPrEx>
          <w:tblW w:w="8931" w:type="dxa"/>
          <w:tblInd w:w="-5" w:type="dxa"/>
          <w:tblLayout w:type="fixed"/>
          <w:tblLook w:val="04A0"/>
        </w:tblPrEx>
        <w:tc>
          <w:tcPr>
            <w:tcW w:w="2127"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个人</w:t>
            </w:r>
          </w:p>
        </w:tc>
        <w:tc>
          <w:tcPr>
            <w:tcW w:w="4819"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60,349.71</w:t>
            </w:r>
          </w:p>
        </w:tc>
        <w:tc>
          <w:tcPr>
            <w:tcW w:w="1985"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0.47</w:t>
            </w:r>
          </w:p>
        </w:tc>
      </w:tr>
      <w:tr w:rsidTr="00F152BF">
        <w:tblPrEx>
          <w:tblW w:w="8931" w:type="dxa"/>
          <w:tblInd w:w="-5" w:type="dxa"/>
          <w:tblLayout w:type="fixed"/>
          <w:tblLook w:val="04A0"/>
        </w:tblPrEx>
        <w:tc>
          <w:tcPr>
            <w:tcW w:w="2127"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个人</w:t>
            </w:r>
          </w:p>
        </w:tc>
        <w:tc>
          <w:tcPr>
            <w:tcW w:w="4819"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50,390.25</w:t>
            </w:r>
          </w:p>
        </w:tc>
        <w:tc>
          <w:tcPr>
            <w:tcW w:w="1985"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0.39</w:t>
            </w:r>
          </w:p>
        </w:tc>
      </w:tr>
      <w:tr w:rsidTr="00F152BF">
        <w:tblPrEx>
          <w:tblW w:w="8931" w:type="dxa"/>
          <w:tblInd w:w="-5" w:type="dxa"/>
          <w:tblLayout w:type="fixed"/>
          <w:tblLook w:val="04A0"/>
        </w:tblPrEx>
        <w:tc>
          <w:tcPr>
            <w:tcW w:w="2127"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个人</w:t>
            </w:r>
          </w:p>
        </w:tc>
        <w:tc>
          <w:tcPr>
            <w:tcW w:w="4819"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44,582.98</w:t>
            </w:r>
          </w:p>
        </w:tc>
        <w:tc>
          <w:tcPr>
            <w:tcW w:w="1985"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0.35</w:t>
            </w:r>
          </w:p>
        </w:tc>
      </w:tr>
    </w:tbl>
    <w:p w:rsidR="00E3567D">
      <w:pPr>
        <w:widowControl/>
        <w:adjustRightInd w:val="0"/>
        <w:snapToGrid w:val="0"/>
        <w:jc w:val="left"/>
        <w:rPr>
          <w:rFonts w:ascii="仿宋" w:eastAsia="仿宋" w:hAnsi="仿宋"/>
          <w:color w:val="404040"/>
          <w:kern w:val="0"/>
          <w:sz w:val="24"/>
        </w:rPr>
      </w:pPr>
    </w:p>
    <w:p w:rsidR="00087AED" w:rsidRPr="0027269A" w:rsidP="00087AED">
      <w:pPr>
        <w:pStyle w:val="Heading2"/>
        <w:adjustRightInd w:val="0"/>
        <w:snapToGrid w:val="0"/>
        <w:spacing w:line="560" w:lineRule="exact"/>
        <w:jc w:val="center"/>
        <w:rPr>
          <w:rFonts w:ascii="仿宋" w:eastAsia="仿宋" w:hAnsi="仿宋"/>
          <w:sz w:val="24"/>
        </w:rPr>
      </w:pPr>
      <w:r>
        <w:rPr>
          <w:rFonts w:ascii="仿宋" w:eastAsia="仿宋" w:hAnsi="仿宋" w:hint="eastAsia"/>
          <w:sz w:val="24"/>
        </w:rPr>
        <w:t>§7 投资者</w:t>
      </w:r>
      <w:r w:rsidRPr="0027269A">
        <w:rPr>
          <w:rFonts w:ascii="仿宋" w:eastAsia="仿宋" w:hAnsi="仿宋" w:hint="eastAsia"/>
          <w:sz w:val="24"/>
        </w:rPr>
        <w:t>份额占比监测</w:t>
      </w:r>
    </w:p>
    <w:p w:rsidR="00087AED" w:rsidP="00087AED">
      <w:pPr>
        <w:adjustRightInd w:val="0"/>
        <w:snapToGrid w:val="0"/>
        <w:spacing w:line="440" w:lineRule="exact"/>
        <w:outlineLvl w:val="2"/>
        <w:rPr>
          <w:rFonts w:ascii="仿宋" w:eastAsia="仿宋" w:hAnsi="仿宋"/>
          <w:b/>
          <w:sz w:val="24"/>
        </w:rPr>
      </w:pPr>
      <w:r>
        <w:rPr>
          <w:rFonts w:ascii="仿宋" w:eastAsia="仿宋" w:hAnsi="仿宋" w:hint="eastAsia"/>
          <w:b/>
          <w:sz w:val="24"/>
        </w:rPr>
        <w:t>7.1 单一投资者份额占比超20%情况</w:t>
      </w:r>
    </w:p>
    <w:tbl>
      <w:tblPr>
        <w:tblStyle w:val="TableGrid"/>
        <w:tblW w:w="89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056"/>
        <w:gridCol w:w="1462"/>
        <w:gridCol w:w="1730"/>
        <w:gridCol w:w="1105"/>
        <w:gridCol w:w="1446"/>
        <w:gridCol w:w="993"/>
        <w:gridCol w:w="1156"/>
      </w:tblGrid>
      <w:tr w:rsidTr="004A706D">
        <w:tblPrEx>
          <w:tblW w:w="89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c>
          <w:tcPr>
            <w:tcW w:w="1056" w:type="dxa"/>
          </w:tcPr>
          <w:p w:rsidR="00087AED" w:rsidRPr="00087AED" w:rsidP="00087AED">
            <w:pPr>
              <w:widowControl/>
              <w:adjustRightInd w:val="0"/>
              <w:snapToGrid w:val="0"/>
              <w:jc w:val="center"/>
              <w:rPr>
                <w:rFonts w:ascii="仿宋" w:eastAsia="仿宋" w:hAnsi="仿宋"/>
                <w:color w:val="000000"/>
                <w:sz w:val="24"/>
              </w:rPr>
            </w:pPr>
          </w:p>
        </w:tc>
        <w:tc>
          <w:tcPr>
            <w:tcW w:w="4297" w:type="dxa"/>
            <w:gridSpan w:val="3"/>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首次占比超20%的情况</w:t>
            </w:r>
          </w:p>
        </w:tc>
        <w:tc>
          <w:tcPr>
            <w:tcW w:w="3595" w:type="dxa"/>
            <w:gridSpan w:val="3"/>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本报告期期末情况</w:t>
            </w:r>
          </w:p>
        </w:tc>
      </w:tr>
      <w:tr w:rsidTr="005B2840">
        <w:tblPrEx>
          <w:tblW w:w="8948" w:type="dxa"/>
          <w:tblLayout w:type="fixed"/>
          <w:tblLook w:val="04A0"/>
        </w:tblPrEx>
        <w:tc>
          <w:tcPr>
            <w:tcW w:w="1056" w:type="dxa"/>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投资者类别</w:t>
            </w:r>
          </w:p>
        </w:tc>
        <w:tc>
          <w:tcPr>
            <w:tcW w:w="1462" w:type="dxa"/>
            <w:vAlign w:val="center"/>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日期</w:t>
            </w:r>
          </w:p>
        </w:tc>
        <w:tc>
          <w:tcPr>
            <w:tcW w:w="1730" w:type="dxa"/>
            <w:vAlign w:val="center"/>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持仓份额</w:t>
            </w:r>
          </w:p>
        </w:tc>
        <w:tc>
          <w:tcPr>
            <w:tcW w:w="1105" w:type="dxa"/>
            <w:vAlign w:val="center"/>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占比（%）</w:t>
            </w:r>
          </w:p>
        </w:tc>
        <w:tc>
          <w:tcPr>
            <w:tcW w:w="1446" w:type="dxa"/>
            <w:vAlign w:val="center"/>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持仓份额</w:t>
            </w:r>
          </w:p>
        </w:tc>
        <w:tc>
          <w:tcPr>
            <w:tcW w:w="993" w:type="dxa"/>
            <w:vAlign w:val="center"/>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占比（%）</w:t>
            </w:r>
          </w:p>
        </w:tc>
        <w:tc>
          <w:tcPr>
            <w:tcW w:w="1156" w:type="dxa"/>
            <w:vAlign w:val="center"/>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变动情况（%）</w:t>
            </w:r>
          </w:p>
        </w:tc>
      </w:tr>
      <w:tr w:rsidTr="005B2840">
        <w:tblPrEx>
          <w:tblW w:w="8948" w:type="dxa"/>
          <w:tblLayout w:type="fixed"/>
          <w:tblLook w:val="04A0"/>
        </w:tblPrEx>
        <w:tc>
          <w:tcPr>
            <w:tcW w:w="1056" w:type="dxa"/>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个人</w:t>
            </w:r>
          </w:p>
        </w:tc>
        <w:tc>
          <w:tcPr>
            <w:tcW w:w="1462" w:type="dxa"/>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2023-09-15</w:t>
            </w:r>
          </w:p>
        </w:tc>
        <w:tc>
          <w:tcPr>
            <w:tcW w:w="1730" w:type="dxa"/>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10,000.00</w:t>
            </w:r>
          </w:p>
        </w:tc>
        <w:tc>
          <w:tcPr>
            <w:tcW w:w="1105" w:type="dxa"/>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99.00</w:t>
            </w:r>
          </w:p>
        </w:tc>
        <w:tc>
          <w:tcPr>
            <w:tcW w:w="1446" w:type="dxa"/>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0.00</w:t>
            </w:r>
          </w:p>
        </w:tc>
        <w:tc>
          <w:tcPr>
            <w:tcW w:w="993" w:type="dxa"/>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0.00</w:t>
            </w:r>
          </w:p>
        </w:tc>
        <w:tc>
          <w:tcPr>
            <w:tcW w:w="1156" w:type="dxa"/>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-99.00</w:t>
            </w:r>
          </w:p>
        </w:tc>
      </w:tr>
      <w:tr w:rsidTr="005B2840">
        <w:tblPrEx>
          <w:tblW w:w="8948" w:type="dxa"/>
          <w:tblLayout w:type="fixed"/>
          <w:tblLook w:val="04A0"/>
        </w:tblPrEx>
        <w:tc>
          <w:tcPr>
            <w:tcW w:w="1056" w:type="dxa"/>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个人</w:t>
            </w:r>
          </w:p>
        </w:tc>
        <w:tc>
          <w:tcPr>
            <w:tcW w:w="1462" w:type="dxa"/>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2023-08-29</w:t>
            </w:r>
          </w:p>
        </w:tc>
        <w:tc>
          <w:tcPr>
            <w:tcW w:w="1730" w:type="dxa"/>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100.00</w:t>
            </w:r>
          </w:p>
        </w:tc>
        <w:tc>
          <w:tcPr>
            <w:tcW w:w="1105" w:type="dxa"/>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100.00</w:t>
            </w:r>
          </w:p>
        </w:tc>
        <w:tc>
          <w:tcPr>
            <w:tcW w:w="1446" w:type="dxa"/>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0.00</w:t>
            </w:r>
          </w:p>
        </w:tc>
        <w:tc>
          <w:tcPr>
            <w:tcW w:w="993" w:type="dxa"/>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0.00</w:t>
            </w:r>
          </w:p>
        </w:tc>
        <w:tc>
          <w:tcPr>
            <w:tcW w:w="1156" w:type="dxa"/>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-100.00</w:t>
            </w:r>
          </w:p>
        </w:tc>
      </w:tr>
    </w:tbl>
    <w:p w:rsidR="00087AED" w:rsidP="00087AED">
      <w:pPr>
        <w:adjustRightInd w:val="0"/>
        <w:snapToGrid w:val="0"/>
        <w:spacing w:line="440" w:lineRule="exact"/>
        <w:outlineLvl w:val="2"/>
        <w:rPr>
          <w:rFonts w:ascii="仿宋" w:eastAsia="仿宋" w:hAnsi="仿宋"/>
          <w:b/>
          <w:sz w:val="24"/>
        </w:rPr>
      </w:pPr>
      <w:r>
        <w:rPr>
          <w:rFonts w:ascii="仿宋" w:eastAsia="仿宋" w:hAnsi="仿宋" w:hint="eastAsia"/>
          <w:b/>
          <w:sz w:val="24"/>
        </w:rPr>
        <w:t>7.2 产品风险信息</w:t>
      </w:r>
    </w:p>
    <w:p w:rsidR="0033591F" w:rsidP="0033591F">
      <w:pPr>
        <w:adjustRightInd w:val="0"/>
        <w:snapToGrid w:val="0"/>
        <w:spacing w:line="420" w:lineRule="exact"/>
        <w:ind w:firstLine="480" w:firstLineChars="200"/>
        <w:rPr>
          <w:rFonts w:ascii="仿宋" w:eastAsia="仿宋" w:hAnsi="仿宋"/>
          <w:sz w:val="24"/>
        </w:rPr>
      </w:pPr>
      <w:r>
        <w:rPr>
          <w:rFonts w:ascii="仿宋" w:eastAsia="仿宋" w:hAnsi="仿宋" w:hint="eastAsia"/>
          <w:sz w:val="24"/>
        </w:rPr>
        <w:t>产品风险方面，</w:t>
      </w:r>
      <w:r>
        <w:rPr>
          <w:rFonts w:ascii="仿宋" w:eastAsia="仿宋" w:hAnsi="仿宋" w:cs="仿宋"/>
          <w:sz w:val="24"/>
        </w:rPr>
        <w:t>杭银理财幸福99金钱包13号理财</w:t>
      </w:r>
      <w:r>
        <w:rPr>
          <w:rFonts w:ascii="仿宋" w:eastAsia="仿宋" w:hAnsi="仿宋" w:hint="eastAsia"/>
          <w:sz w:val="24"/>
        </w:rPr>
        <w:t>现金管理类理财产品</w:t>
      </w:r>
      <w:r>
        <w:rPr>
          <w:rFonts w:ascii="仿宋" w:eastAsia="仿宋" w:hAnsi="仿宋" w:cs="仿宋"/>
          <w:sz w:val="24"/>
        </w:rPr>
        <w:t>曾</w:t>
      </w:r>
      <w:r>
        <w:rPr>
          <w:rFonts w:ascii="仿宋" w:eastAsia="仿宋" w:hAnsi="仿宋" w:cs="仿宋"/>
          <w:sz w:val="24"/>
        </w:rPr>
        <w:t>出现单一投资者持仓份额超过产品总份额20%的情况。截至</w:t>
      </w:r>
      <w:r>
        <w:rPr>
          <w:rFonts w:ascii="仿宋" w:eastAsia="仿宋" w:hAnsi="仿宋" w:cs="仿宋"/>
          <w:sz w:val="24"/>
        </w:rPr>
        <w:t>2024年12月31日</w:t>
      </w:r>
      <w:r>
        <w:rPr>
          <w:rFonts w:ascii="仿宋" w:eastAsia="仿宋" w:hAnsi="仿宋" w:hint="eastAsia"/>
          <w:sz w:val="24"/>
        </w:rPr>
        <w:t>无单一投资者持仓份额超过产品总份额20%的情况。</w:t>
      </w:r>
    </w:p>
    <w:p w:rsidR="00087AED" w:rsidRPr="0033591F">
      <w:pPr>
        <w:widowControl/>
        <w:adjustRightInd w:val="0"/>
        <w:snapToGrid w:val="0"/>
        <w:jc w:val="left"/>
        <w:rPr>
          <w:rFonts w:ascii="仿宋" w:eastAsia="仿宋" w:hAnsi="仿宋"/>
          <w:color w:val="404040"/>
          <w:kern w:val="0"/>
          <w:sz w:val="24"/>
        </w:rPr>
      </w:pPr>
    </w:p>
    <w:p w:rsidR="00E3567D">
      <w:pPr>
        <w:pStyle w:val="Heading2"/>
        <w:adjustRightInd w:val="0"/>
        <w:snapToGrid w:val="0"/>
        <w:spacing w:line="560" w:lineRule="exact"/>
        <w:jc w:val="center"/>
        <w:rPr>
          <w:rFonts w:ascii="仿宋" w:eastAsia="仿宋" w:hAnsi="仿宋"/>
          <w:sz w:val="24"/>
        </w:rPr>
      </w:pPr>
      <w:bookmarkStart w:id="17" w:name="_Toc1918586769"/>
      <w:r>
        <w:rPr>
          <w:rFonts w:ascii="仿宋" w:eastAsia="仿宋" w:hAnsi="仿宋" w:hint="eastAsia"/>
          <w:sz w:val="24"/>
        </w:rPr>
        <w:t>§</w:t>
      </w:r>
      <w:r w:rsidR="005B2840">
        <w:rPr>
          <w:rFonts w:ascii="仿宋" w:eastAsia="仿宋" w:hAnsi="仿宋"/>
          <w:sz w:val="24"/>
        </w:rPr>
        <w:t>8</w:t>
      </w:r>
      <w:r>
        <w:rPr>
          <w:rFonts w:ascii="仿宋" w:eastAsia="仿宋" w:hAnsi="仿宋" w:hint="eastAsia"/>
          <w:sz w:val="24"/>
        </w:rPr>
        <w:t xml:space="preserve"> 托管人报告</w:t>
      </w:r>
      <w:bookmarkEnd w:id="17"/>
    </w:p>
    <w:p w:rsidR="00E3567D">
      <w:pPr>
        <w:adjustRightInd w:val="0"/>
        <w:snapToGrid w:val="0"/>
        <w:spacing w:line="420" w:lineRule="exact"/>
        <w:ind w:firstLine="480" w:firstLineChars="200"/>
        <w:rPr>
          <w:rFonts w:ascii="仿宋" w:eastAsia="仿宋" w:hAnsi="仿宋"/>
          <w:sz w:val="24"/>
        </w:rPr>
      </w:pPr>
      <w:r>
        <w:rPr>
          <w:rFonts w:ascii="仿宋" w:eastAsia="仿宋" w:hAnsi="仿宋" w:hint="eastAsia"/>
          <w:sz w:val="24"/>
        </w:rPr>
        <w:t>本报告期内，</w:t>
      </w:r>
      <w:r>
        <w:rPr>
          <w:rFonts w:ascii="仿宋" w:eastAsia="仿宋" w:hAnsi="仿宋"/>
          <w:sz w:val="24"/>
        </w:rPr>
        <w:t>杭州银行股份有限公司</w:t>
      </w:r>
      <w:r>
        <w:rPr>
          <w:rFonts w:ascii="仿宋" w:eastAsia="仿宋" w:hAnsi="仿宋" w:hint="eastAsia"/>
          <w:sz w:val="24"/>
        </w:rPr>
        <w:t>（以下简称“本托管人”）在对本产品的托管过程中，严格遵守了《关于规范金融机构资产管理业务的指导意见》《商业银行理财业务监督管理办法》《商业银行理财子公司管理办法》等相关法律法规、托管协议的规定，依法安全保管了本产品的全部资产，对本产品的投资运作进行了认真、独立的会计核算和必要的投资监督，没有从事任何损害产品份额持有人利益的行为，诚实信用、勤勉尽责地履行了托管人应尽的义务。</w:t>
      </w:r>
    </w:p>
    <w:p w:rsidR="00E3567D">
      <w:pPr>
        <w:adjustRightInd w:val="0"/>
        <w:snapToGrid w:val="0"/>
        <w:spacing w:line="420" w:lineRule="exact"/>
        <w:ind w:firstLine="480" w:firstLineChars="200"/>
        <w:rPr>
          <w:rFonts w:ascii="仿宋" w:eastAsia="仿宋" w:hAnsi="仿宋" w:cs="仿宋_GB2312"/>
          <w:bCs/>
          <w:sz w:val="24"/>
        </w:rPr>
      </w:pPr>
      <w:r>
        <w:rPr>
          <w:rFonts w:ascii="仿宋" w:eastAsia="仿宋" w:hAnsi="仿宋" w:hint="eastAsia"/>
          <w:sz w:val="24"/>
        </w:rPr>
        <w:t>本托管人复核了本产品报告中的财务指标、净值表现和投资组合报告等内容。经复核，本产品报告中披露的理财产品财务数据核对一致。</w:t>
      </w:r>
    </w:p>
    <w:p w:rsidR="00E3567D">
      <w:pPr>
        <w:widowControl/>
        <w:adjustRightInd w:val="0"/>
        <w:snapToGrid w:val="0"/>
        <w:jc w:val="left"/>
        <w:rPr>
          <w:rFonts w:ascii="仿宋" w:eastAsia="仿宋" w:hAnsi="仿宋"/>
          <w:color w:val="404040"/>
          <w:kern w:val="0"/>
          <w:sz w:val="24"/>
        </w:rPr>
      </w:pPr>
    </w:p>
    <w:p w:rsidR="00E3567D">
      <w:pPr>
        <w:pStyle w:val="Heading2"/>
        <w:adjustRightInd w:val="0"/>
        <w:snapToGrid w:val="0"/>
        <w:spacing w:line="560" w:lineRule="exact"/>
        <w:jc w:val="center"/>
        <w:rPr>
          <w:rFonts w:ascii="仿宋" w:eastAsia="仿宋" w:hAnsi="仿宋"/>
          <w:sz w:val="24"/>
        </w:rPr>
      </w:pPr>
      <w:bookmarkStart w:id="18" w:name="_Toc1220866878"/>
      <w:r>
        <w:rPr>
          <w:rFonts w:ascii="仿宋" w:eastAsia="仿宋" w:hAnsi="仿宋" w:hint="eastAsia"/>
          <w:sz w:val="24"/>
        </w:rPr>
        <w:t>§</w:t>
      </w:r>
      <w:r w:rsidR="005B2840">
        <w:rPr>
          <w:rFonts w:ascii="仿宋" w:eastAsia="仿宋" w:hAnsi="仿宋"/>
          <w:sz w:val="24"/>
        </w:rPr>
        <w:t>9</w:t>
      </w:r>
      <w:r>
        <w:rPr>
          <w:rFonts w:ascii="仿宋" w:eastAsia="仿宋" w:hAnsi="仿宋" w:hint="eastAsia"/>
          <w:sz w:val="24"/>
        </w:rPr>
        <w:t xml:space="preserve"> 报告期内关联交易情况</w:t>
      </w:r>
      <w:bookmarkEnd w:id="18"/>
    </w:p>
    <w:p w:rsidR="00E3567D">
      <w:pPr>
        <w:adjustRightInd w:val="0"/>
        <w:snapToGrid w:val="0"/>
        <w:spacing w:line="440" w:lineRule="exact"/>
        <w:outlineLvl w:val="2"/>
        <w:rPr>
          <w:rFonts w:ascii="仿宋" w:eastAsia="仿宋" w:hAnsi="仿宋"/>
          <w:b/>
          <w:sz w:val="24"/>
        </w:rPr>
      </w:pPr>
      <w:bookmarkStart w:id="19" w:name="_Toc2050855108"/>
      <w:r>
        <w:rPr>
          <w:rFonts w:ascii="仿宋" w:eastAsia="仿宋" w:hAnsi="仿宋"/>
          <w:b/>
          <w:sz w:val="24"/>
        </w:rPr>
        <w:t>9</w:t>
      </w:r>
      <w:r w:rsidR="007039A5">
        <w:rPr>
          <w:rFonts w:ascii="仿宋" w:eastAsia="仿宋" w:hAnsi="仿宋" w:hint="eastAsia"/>
          <w:b/>
          <w:sz w:val="24"/>
        </w:rPr>
        <w:t>.1 产品投资于关联</w:t>
      </w:r>
      <w:r w:rsidR="007039A5">
        <w:rPr>
          <w:rFonts w:ascii="仿宋" w:eastAsia="仿宋" w:hAnsi="仿宋" w:hint="eastAsia"/>
          <w:b/>
          <w:sz w:val="24"/>
        </w:rPr>
        <w:t>方发行</w:t>
      </w:r>
      <w:r w:rsidR="007039A5">
        <w:rPr>
          <w:rFonts w:ascii="仿宋" w:eastAsia="仿宋" w:hAnsi="仿宋" w:hint="eastAsia"/>
          <w:b/>
          <w:sz w:val="24"/>
        </w:rPr>
        <w:t>或承销的证券、资产管理产品，或其他关联交易</w:t>
      </w:r>
      <w:bookmarkEnd w:id="19"/>
    </w:p>
    <w:p w:rsidR="00E3567D">
      <w:pPr>
        <w:adjustRightInd w:val="0"/>
        <w:snapToGrid w:val="0"/>
        <w:spacing w:line="440" w:lineRule="exact"/>
        <w:ind w:firstLine="6240" w:firstLineChars="2600"/>
        <w:jc w:val="right"/>
        <w:rPr>
          <w:rFonts w:ascii="仿宋" w:eastAsia="仿宋" w:hAnsi="仿宋" w:cs="仿宋"/>
          <w:b/>
          <w:sz w:val="24"/>
        </w:rPr>
      </w:pPr>
      <w:r>
        <w:rPr>
          <w:rFonts w:ascii="仿宋" w:eastAsia="仿宋" w:hAnsi="仿宋" w:cs="仿宋" w:hint="eastAsia"/>
          <w:sz w:val="24"/>
        </w:rPr>
        <w:t>单位：元、份</w:t>
      </w:r>
    </w:p>
    <w:tbl>
      <w:tblPr>
        <w:tblStyle w:val="TableGrid"/>
        <w:tblW w:w="8926" w:type="dxa"/>
        <w:tblLayout w:type="fixed"/>
        <w:tblLook w:val="04A0"/>
      </w:tblPr>
      <w:tblGrid>
        <w:gridCol w:w="562"/>
        <w:gridCol w:w="1843"/>
        <w:gridCol w:w="1253"/>
        <w:gridCol w:w="873"/>
        <w:gridCol w:w="851"/>
        <w:gridCol w:w="1701"/>
        <w:gridCol w:w="1843"/>
      </w:tblGrid>
      <w:tr>
        <w:tblPrEx>
          <w:tblW w:w="8926" w:type="dxa"/>
          <w:tblLayout w:type="fixed"/>
          <w:tblLook w:val="04A0"/>
        </w:tblPrEx>
        <w:tc>
          <w:tcPr>
            <w:tcW w:w="562" w:type="dxa"/>
            <w:vAlign w:val="center"/>
          </w:tcPr>
          <w:p w:rsidR="00E3567D">
            <w:pPr>
              <w:adjustRightInd w:val="0"/>
              <w:snapToGrid w:val="0"/>
              <w:jc w:val="center"/>
              <w:rPr>
                <w:rFonts w:ascii="仿宋" w:eastAsia="仿宋" w:hAnsi="仿宋"/>
                <w:color w:val="000000"/>
                <w:kern w:val="0"/>
                <w:sz w:val="24"/>
              </w:rPr>
            </w:pPr>
            <w:r>
              <w:rPr>
                <w:rFonts w:ascii="仿宋" w:eastAsia="仿宋" w:hAnsi="仿宋" w:hint="eastAsia"/>
                <w:color w:val="000000"/>
                <w:kern w:val="0"/>
                <w:sz w:val="24"/>
              </w:rPr>
              <w:t>序号</w:t>
            </w:r>
          </w:p>
        </w:tc>
        <w:tc>
          <w:tcPr>
            <w:tcW w:w="1843" w:type="dxa"/>
            <w:vAlign w:val="center"/>
          </w:tcPr>
          <w:p w:rsidR="00E3567D">
            <w:pPr>
              <w:adjustRightInd w:val="0"/>
              <w:snapToGrid w:val="0"/>
              <w:jc w:val="center"/>
              <w:rPr>
                <w:rFonts w:ascii="仿宋" w:eastAsia="仿宋" w:hAnsi="仿宋"/>
                <w:color w:val="000000"/>
                <w:kern w:val="0"/>
                <w:sz w:val="24"/>
              </w:rPr>
            </w:pPr>
            <w:r>
              <w:rPr>
                <w:rFonts w:ascii="仿宋" w:eastAsia="仿宋" w:hAnsi="仿宋" w:hint="eastAsia"/>
                <w:color w:val="000000"/>
                <w:kern w:val="0"/>
                <w:sz w:val="24"/>
              </w:rPr>
              <w:t>关联方</w:t>
            </w:r>
          </w:p>
        </w:tc>
        <w:tc>
          <w:tcPr>
            <w:tcW w:w="1253" w:type="dxa"/>
            <w:vAlign w:val="center"/>
          </w:tcPr>
          <w:p w:rsidR="00E3567D">
            <w:pPr>
              <w:adjustRightInd w:val="0"/>
              <w:snapToGrid w:val="0"/>
              <w:jc w:val="center"/>
              <w:rPr>
                <w:rFonts w:ascii="仿宋" w:eastAsia="仿宋" w:hAnsi="仿宋"/>
                <w:color w:val="000000"/>
                <w:kern w:val="0"/>
                <w:sz w:val="24"/>
              </w:rPr>
            </w:pPr>
            <w:r>
              <w:rPr>
                <w:rFonts w:ascii="仿宋" w:eastAsia="仿宋" w:hAnsi="仿宋" w:hint="eastAsia"/>
                <w:color w:val="000000"/>
                <w:kern w:val="0"/>
                <w:sz w:val="24"/>
              </w:rPr>
              <w:t>资产名称</w:t>
            </w:r>
          </w:p>
        </w:tc>
        <w:tc>
          <w:tcPr>
            <w:tcW w:w="873" w:type="dxa"/>
            <w:vAlign w:val="center"/>
          </w:tcPr>
          <w:p w:rsidR="00E3567D">
            <w:pPr>
              <w:adjustRightInd w:val="0"/>
              <w:snapToGrid w:val="0"/>
              <w:jc w:val="center"/>
              <w:rPr>
                <w:rFonts w:ascii="仿宋" w:eastAsia="仿宋" w:hAnsi="仿宋"/>
                <w:color w:val="000000"/>
                <w:kern w:val="0"/>
                <w:sz w:val="24"/>
              </w:rPr>
            </w:pPr>
            <w:r>
              <w:rPr>
                <w:rFonts w:ascii="仿宋" w:eastAsia="仿宋" w:hAnsi="仿宋" w:hint="eastAsia"/>
                <w:color w:val="000000"/>
                <w:kern w:val="0"/>
                <w:sz w:val="24"/>
              </w:rPr>
              <w:t>资产类型</w:t>
            </w:r>
          </w:p>
        </w:tc>
        <w:tc>
          <w:tcPr>
            <w:tcW w:w="851" w:type="dxa"/>
            <w:vAlign w:val="center"/>
          </w:tcPr>
          <w:p w:rsidR="00E3567D">
            <w:pPr>
              <w:adjustRightInd w:val="0"/>
              <w:snapToGrid w:val="0"/>
              <w:jc w:val="center"/>
              <w:rPr>
                <w:rFonts w:ascii="仿宋" w:eastAsia="仿宋" w:hAnsi="仿宋"/>
                <w:color w:val="000000"/>
                <w:kern w:val="0"/>
                <w:sz w:val="24"/>
              </w:rPr>
            </w:pPr>
            <w:r>
              <w:rPr>
                <w:rFonts w:ascii="仿宋" w:eastAsia="仿宋" w:hAnsi="仿宋" w:hint="eastAsia"/>
                <w:color w:val="000000"/>
                <w:kern w:val="0"/>
                <w:sz w:val="24"/>
              </w:rPr>
              <w:t>交易类型</w:t>
            </w:r>
          </w:p>
        </w:tc>
        <w:tc>
          <w:tcPr>
            <w:tcW w:w="1701" w:type="dxa"/>
            <w:vAlign w:val="center"/>
          </w:tcPr>
          <w:p w:rsidR="00E3567D">
            <w:pPr>
              <w:adjustRightInd w:val="0"/>
              <w:snapToGrid w:val="0"/>
              <w:jc w:val="center"/>
              <w:rPr>
                <w:rFonts w:ascii="仿宋" w:eastAsia="仿宋" w:hAnsi="仿宋"/>
                <w:color w:val="000000"/>
                <w:kern w:val="0"/>
                <w:sz w:val="24"/>
              </w:rPr>
            </w:pPr>
            <w:r>
              <w:rPr>
                <w:rFonts w:ascii="仿宋" w:eastAsia="仿宋" w:hAnsi="仿宋" w:hint="eastAsia"/>
                <w:color w:val="000000"/>
                <w:kern w:val="0"/>
                <w:sz w:val="24"/>
              </w:rPr>
              <w:t>交易金额（元）</w:t>
            </w:r>
          </w:p>
        </w:tc>
        <w:tc>
          <w:tcPr>
            <w:tcW w:w="1843" w:type="dxa"/>
            <w:vAlign w:val="center"/>
          </w:tcPr>
          <w:p w:rsidR="00E3567D">
            <w:pPr>
              <w:adjustRightInd w:val="0"/>
              <w:snapToGrid w:val="0"/>
              <w:jc w:val="center"/>
              <w:rPr>
                <w:rFonts w:ascii="仿宋" w:eastAsia="仿宋" w:hAnsi="仿宋"/>
                <w:color w:val="000000"/>
                <w:kern w:val="0"/>
                <w:sz w:val="24"/>
              </w:rPr>
            </w:pPr>
            <w:r>
              <w:rPr>
                <w:rFonts w:ascii="仿宋" w:eastAsia="仿宋" w:hAnsi="仿宋" w:hint="eastAsia"/>
                <w:color w:val="000000"/>
                <w:kern w:val="0"/>
                <w:sz w:val="24"/>
              </w:rPr>
              <w:t>份额</w:t>
            </w:r>
          </w:p>
        </w:tc>
      </w:tr>
    </w:tbl>
    <w:p w:rsidR="00E3567D">
      <w:pPr>
        <w:adjustRightInd w:val="0"/>
        <w:snapToGrid w:val="0"/>
        <w:spacing w:line="440" w:lineRule="exact"/>
        <w:outlineLvl w:val="2"/>
        <w:rPr>
          <w:rFonts w:ascii="仿宋" w:eastAsia="仿宋" w:hAnsi="仿宋"/>
          <w:b/>
          <w:sz w:val="24"/>
        </w:rPr>
      </w:pPr>
      <w:bookmarkStart w:id="20" w:name="_Toc1609265806"/>
      <w:r>
        <w:rPr>
          <w:rFonts w:ascii="仿宋" w:eastAsia="仿宋" w:hAnsi="仿宋"/>
          <w:b/>
          <w:sz w:val="24"/>
        </w:rPr>
        <w:t>9</w:t>
      </w:r>
      <w:r w:rsidR="007039A5">
        <w:rPr>
          <w:rFonts w:ascii="仿宋" w:eastAsia="仿宋" w:hAnsi="仿宋" w:hint="eastAsia"/>
          <w:b/>
          <w:sz w:val="24"/>
        </w:rPr>
        <w:t>.2 产品向关联方支付的费用</w:t>
      </w:r>
      <w:bookmarkEnd w:id="20"/>
    </w:p>
    <w:tbl>
      <w:tblPr>
        <w:tblStyle w:val="TableGrid"/>
        <w:tblW w:w="8926" w:type="dxa"/>
        <w:tblLayout w:type="fixed"/>
        <w:tblLook w:val="04A0"/>
      </w:tblPr>
      <w:tblGrid>
        <w:gridCol w:w="562"/>
        <w:gridCol w:w="3261"/>
        <w:gridCol w:w="1984"/>
        <w:gridCol w:w="3119"/>
      </w:tblGrid>
      <w:tr>
        <w:tblPrEx>
          <w:tblW w:w="8926" w:type="dxa"/>
          <w:tblLayout w:type="fixed"/>
          <w:tblLook w:val="04A0"/>
        </w:tblPrEx>
        <w:tc>
          <w:tcPr>
            <w:tcW w:w="562" w:type="dxa"/>
            <w:vAlign w:val="center"/>
          </w:tcPr>
          <w:p w:rsidR="00E3567D">
            <w:pPr>
              <w:adjustRightInd w:val="0"/>
              <w:snapToGrid w:val="0"/>
              <w:jc w:val="center"/>
              <w:rPr>
                <w:rFonts w:ascii="仿宋" w:eastAsia="仿宋" w:hAnsi="仿宋"/>
                <w:color w:val="000000"/>
                <w:kern w:val="0"/>
                <w:sz w:val="24"/>
              </w:rPr>
            </w:pPr>
            <w:r>
              <w:rPr>
                <w:rFonts w:ascii="仿宋" w:eastAsia="仿宋" w:hAnsi="仿宋" w:hint="eastAsia"/>
                <w:color w:val="000000"/>
                <w:kern w:val="0"/>
                <w:sz w:val="24"/>
              </w:rPr>
              <w:t>序号</w:t>
            </w:r>
          </w:p>
        </w:tc>
        <w:tc>
          <w:tcPr>
            <w:tcW w:w="3261" w:type="dxa"/>
            <w:vAlign w:val="center"/>
          </w:tcPr>
          <w:p w:rsidR="00E3567D">
            <w:pPr>
              <w:adjustRightInd w:val="0"/>
              <w:snapToGrid w:val="0"/>
              <w:jc w:val="center"/>
              <w:rPr>
                <w:rFonts w:ascii="仿宋" w:eastAsia="仿宋" w:hAnsi="仿宋"/>
                <w:color w:val="000000"/>
                <w:kern w:val="0"/>
                <w:sz w:val="24"/>
              </w:rPr>
            </w:pPr>
            <w:r>
              <w:rPr>
                <w:rFonts w:ascii="仿宋" w:eastAsia="仿宋" w:hAnsi="仿宋" w:hint="eastAsia"/>
                <w:color w:val="000000"/>
                <w:kern w:val="0"/>
                <w:sz w:val="24"/>
              </w:rPr>
              <w:t>关联方</w:t>
            </w:r>
          </w:p>
        </w:tc>
        <w:tc>
          <w:tcPr>
            <w:tcW w:w="1984" w:type="dxa"/>
            <w:vAlign w:val="center"/>
          </w:tcPr>
          <w:p w:rsidR="00E3567D">
            <w:pPr>
              <w:adjustRightInd w:val="0"/>
              <w:snapToGrid w:val="0"/>
              <w:jc w:val="center"/>
              <w:rPr>
                <w:rFonts w:ascii="仿宋" w:eastAsia="仿宋" w:hAnsi="仿宋"/>
                <w:color w:val="000000"/>
                <w:kern w:val="0"/>
                <w:sz w:val="24"/>
              </w:rPr>
            </w:pPr>
            <w:r>
              <w:rPr>
                <w:rFonts w:ascii="仿宋" w:eastAsia="仿宋" w:hAnsi="仿宋" w:hint="eastAsia"/>
                <w:color w:val="000000"/>
                <w:kern w:val="0"/>
                <w:sz w:val="24"/>
              </w:rPr>
              <w:t>费用类型</w:t>
            </w:r>
          </w:p>
        </w:tc>
        <w:tc>
          <w:tcPr>
            <w:tcW w:w="3119" w:type="dxa"/>
            <w:vAlign w:val="center"/>
          </w:tcPr>
          <w:p w:rsidR="00E3567D">
            <w:pPr>
              <w:adjustRightInd w:val="0"/>
              <w:snapToGrid w:val="0"/>
              <w:jc w:val="center"/>
              <w:rPr>
                <w:rFonts w:ascii="仿宋" w:eastAsia="仿宋" w:hAnsi="仿宋"/>
                <w:color w:val="000000"/>
                <w:kern w:val="0"/>
                <w:sz w:val="24"/>
              </w:rPr>
            </w:pPr>
            <w:r>
              <w:rPr>
                <w:rFonts w:ascii="仿宋" w:eastAsia="仿宋" w:hAnsi="仿宋" w:hint="eastAsia"/>
                <w:color w:val="000000"/>
                <w:kern w:val="0"/>
                <w:sz w:val="24"/>
              </w:rPr>
              <w:t>交易金额（元）</w:t>
            </w:r>
          </w:p>
        </w:tc>
      </w:tr>
      <w:tr>
        <w:tblPrEx>
          <w:tblW w:w="8926" w:type="dxa"/>
          <w:tblLayout w:type="fixed"/>
          <w:tblLook w:val="04A0"/>
        </w:tblPrEx>
        <w:tc>
          <w:tcPr>
            <w:tcW w:w="562" w:type="dxa"/>
            <w:vAlign w:val="center"/>
          </w:tcPr>
          <w:p w:rsidR="00E3567D">
            <w:pPr>
              <w:adjustRightInd w:val="0"/>
              <w:snapToGrid w:val="0"/>
              <w:jc w:val="center"/>
              <w:rPr>
                <w:rFonts w:ascii="仿宋" w:eastAsia="仿宋" w:hAnsi="仿宋"/>
                <w:color w:val="000000"/>
                <w:kern w:val="0"/>
                <w:sz w:val="24"/>
              </w:rPr>
            </w:pPr>
            <w:r>
              <w:rPr>
                <w:rFonts w:ascii="仿宋" w:eastAsia="仿宋" w:hAnsi="仿宋" w:hint="eastAsia"/>
                <w:color w:val="000000"/>
                <w:kern w:val="0"/>
                <w:sz w:val="24"/>
              </w:rPr>
              <w:t>1</w:t>
            </w:r>
          </w:p>
        </w:tc>
        <w:tc>
          <w:tcPr>
            <w:tcW w:w="3261" w:type="dxa"/>
            <w:vAlign w:val="center"/>
          </w:tcPr>
          <w:p w:rsidR="00E3567D">
            <w:pPr>
              <w:adjustRightInd w:val="0"/>
              <w:snapToGrid w:val="0"/>
              <w:jc w:val="center"/>
              <w:rPr>
                <w:rFonts w:ascii="仿宋" w:eastAsia="仿宋" w:hAnsi="仿宋"/>
                <w:color w:val="000000"/>
                <w:kern w:val="0"/>
                <w:sz w:val="24"/>
              </w:rPr>
            </w:pPr>
            <w:r>
              <w:rPr>
                <w:rFonts w:ascii="仿宋" w:eastAsia="仿宋" w:hAnsi="仿宋"/>
                <w:color w:val="000000"/>
                <w:kern w:val="0"/>
                <w:sz w:val="24"/>
              </w:rPr>
              <w:t>杭州银行股份有限公司</w:t>
            </w:r>
          </w:p>
        </w:tc>
        <w:tc>
          <w:tcPr>
            <w:tcW w:w="1984" w:type="dxa"/>
            <w:vAlign w:val="center"/>
          </w:tcPr>
          <w:p w:rsidR="00E3567D">
            <w:pPr>
              <w:adjustRightInd w:val="0"/>
              <w:snapToGrid w:val="0"/>
              <w:jc w:val="center"/>
              <w:rPr>
                <w:rFonts w:ascii="仿宋" w:eastAsia="仿宋" w:hAnsi="仿宋"/>
                <w:color w:val="000000"/>
                <w:kern w:val="0"/>
                <w:sz w:val="24"/>
              </w:rPr>
            </w:pPr>
            <w:r>
              <w:rPr>
                <w:rFonts w:ascii="仿宋" w:eastAsia="仿宋" w:hAnsi="仿宋"/>
                <w:color w:val="000000"/>
                <w:kern w:val="0"/>
                <w:sz w:val="24"/>
              </w:rPr>
              <w:t>托管费</w:t>
            </w:r>
          </w:p>
        </w:tc>
        <w:tc>
          <w:tcPr>
            <w:tcW w:w="3119" w:type="dxa"/>
            <w:vAlign w:val="center"/>
          </w:tcPr>
          <w:p w:rsidR="00E3567D">
            <w:pPr>
              <w:adjustRightInd w:val="0"/>
              <w:snapToGrid w:val="0"/>
              <w:jc w:val="center"/>
              <w:rPr>
                <w:rFonts w:ascii="仿宋" w:eastAsia="仿宋" w:hAnsi="仿宋"/>
                <w:color w:val="000000"/>
                <w:kern w:val="0"/>
                <w:sz w:val="24"/>
              </w:rPr>
            </w:pPr>
            <w:r>
              <w:rPr>
                <w:rFonts w:ascii="仿宋" w:eastAsia="仿宋" w:hAnsi="仿宋"/>
                <w:color w:val="000000"/>
                <w:kern w:val="0"/>
                <w:sz w:val="24"/>
              </w:rPr>
              <w:t>1,027.60</w:t>
            </w:r>
          </w:p>
        </w:tc>
      </w:tr>
    </w:tbl>
    <w:p w:rsidR="00E3567D">
      <w:pPr>
        <w:widowControl/>
        <w:adjustRightInd w:val="0"/>
        <w:snapToGrid w:val="0"/>
        <w:ind w:firstLine="480" w:firstLineChars="200"/>
        <w:jc w:val="left"/>
        <w:rPr>
          <w:rFonts w:ascii="仿宋" w:eastAsia="仿宋" w:hAnsi="仿宋"/>
          <w:color w:val="404040"/>
          <w:kern w:val="0"/>
          <w:sz w:val="24"/>
        </w:rPr>
      </w:pPr>
    </w:p>
    <w:p w:rsidR="00E3567D">
      <w:pPr>
        <w:pStyle w:val="Heading2"/>
        <w:adjustRightInd w:val="0"/>
        <w:snapToGrid w:val="0"/>
        <w:spacing w:line="560" w:lineRule="atLeast"/>
        <w:jc w:val="center"/>
        <w:rPr>
          <w:rFonts w:ascii="仿宋" w:eastAsia="仿宋" w:hAnsi="仿宋" w:cs="仿宋"/>
          <w:bCs/>
          <w:sz w:val="24"/>
        </w:rPr>
      </w:pPr>
      <w:bookmarkStart w:id="21" w:name="_Toc1521351124"/>
      <w:r>
        <w:rPr>
          <w:rFonts w:ascii="仿宋" w:eastAsia="仿宋" w:hAnsi="仿宋" w:cs="仿宋" w:hint="eastAsia"/>
          <w:bCs/>
          <w:sz w:val="24"/>
        </w:rPr>
        <w:t>§</w:t>
      </w:r>
      <w:r w:rsidR="005B2840">
        <w:rPr>
          <w:rFonts w:ascii="仿宋" w:eastAsia="仿宋" w:hAnsi="仿宋" w:cs="仿宋"/>
          <w:bCs/>
          <w:sz w:val="24"/>
        </w:rPr>
        <w:t>10</w:t>
      </w:r>
      <w:r>
        <w:rPr>
          <w:rFonts w:ascii="仿宋" w:eastAsia="仿宋" w:hAnsi="仿宋" w:cs="仿宋" w:hint="eastAsia"/>
          <w:bCs/>
          <w:sz w:val="24"/>
        </w:rPr>
        <w:t xml:space="preserve"> 投资账户信息</w:t>
      </w:r>
      <w:bookmarkEnd w:id="21"/>
    </w:p>
    <w:p w:rsidR="00E3567D"/>
    <w:tbl>
      <w:tblPr>
        <w:tblStyle w:val="TableGrid"/>
        <w:tblW w:w="8950" w:type="dxa"/>
        <w:tblInd w:w="8" w:type="dxa"/>
        <w:tblLayout w:type="fixed"/>
        <w:tblLook w:val="04A0"/>
      </w:tblPr>
      <w:tblGrid>
        <w:gridCol w:w="2150"/>
        <w:gridCol w:w="6800"/>
      </w:tblGrid>
      <w:tr>
        <w:tblPrEx>
          <w:tblW w:w="8950" w:type="dxa"/>
          <w:tblInd w:w="8" w:type="dxa"/>
          <w:tblLayout w:type="fixed"/>
          <w:tblLook w:val="04A0"/>
        </w:tblPrEx>
        <w:trPr>
          <w:trHeight w:val="90"/>
        </w:trPr>
        <w:tc>
          <w:tcPr>
            <w:tcW w:w="2150" w:type="dxa"/>
          </w:tcPr>
          <w:p w:rsidR="00E3567D">
            <w:pPr>
              <w:widowControl/>
              <w:adjustRightInd w:val="0"/>
              <w:snapToGrid w:val="0"/>
              <w:jc w:val="left"/>
              <w:rPr>
                <w:rFonts w:ascii="仿宋" w:eastAsia="仿宋" w:hAnsi="仿宋" w:cs="仿宋"/>
                <w:color w:val="000000"/>
                <w:sz w:val="24"/>
              </w:rPr>
            </w:pPr>
            <w:r>
              <w:rPr>
                <w:rFonts w:ascii="仿宋" w:eastAsia="仿宋" w:hAnsi="仿宋" w:cs="仿宋" w:hint="eastAsia"/>
                <w:color w:val="000000"/>
                <w:sz w:val="24"/>
              </w:rPr>
              <w:t>户名</w:t>
            </w:r>
          </w:p>
        </w:tc>
        <w:tc>
          <w:tcPr>
            <w:tcW w:w="6800" w:type="dxa"/>
          </w:tcPr>
          <w:p w:rsidR="00E3567D">
            <w:pPr>
              <w:widowControl/>
              <w:adjustRightInd w:val="0"/>
              <w:snapToGrid w:val="0"/>
              <w:jc w:val="left"/>
              <w:rPr>
                <w:rFonts w:ascii="仿宋" w:eastAsia="仿宋" w:hAnsi="仿宋" w:cs="仿宋"/>
                <w:color w:val="000000"/>
                <w:sz w:val="24"/>
              </w:rPr>
            </w:pPr>
            <w:r>
              <w:rPr>
                <w:rFonts w:ascii="仿宋" w:eastAsia="仿宋" w:hAnsi="仿宋" w:cs="仿宋" w:hint="eastAsia"/>
                <w:color w:val="000000"/>
                <w:sz w:val="24"/>
              </w:rPr>
              <w:t>杭银理财幸福99金钱包13号理财</w:t>
            </w:r>
          </w:p>
        </w:tc>
      </w:tr>
      <w:tr>
        <w:tblPrEx>
          <w:tblW w:w="8950" w:type="dxa"/>
          <w:tblInd w:w="8" w:type="dxa"/>
          <w:tblLayout w:type="fixed"/>
          <w:tblLook w:val="04A0"/>
        </w:tblPrEx>
        <w:trPr>
          <w:trHeight w:val="203"/>
        </w:trPr>
        <w:tc>
          <w:tcPr>
            <w:tcW w:w="2150" w:type="dxa"/>
          </w:tcPr>
          <w:p w:rsidR="00E3567D">
            <w:pPr>
              <w:widowControl/>
              <w:adjustRightInd w:val="0"/>
              <w:snapToGrid w:val="0"/>
              <w:jc w:val="left"/>
              <w:rPr>
                <w:rFonts w:ascii="仿宋" w:eastAsia="仿宋" w:hAnsi="仿宋" w:cs="仿宋"/>
                <w:color w:val="000000"/>
                <w:sz w:val="24"/>
              </w:rPr>
            </w:pPr>
            <w:r>
              <w:rPr>
                <w:rFonts w:ascii="仿宋" w:eastAsia="仿宋" w:hAnsi="仿宋" w:cs="仿宋" w:hint="eastAsia"/>
                <w:color w:val="000000"/>
                <w:sz w:val="24"/>
              </w:rPr>
              <w:t>账号</w:t>
            </w:r>
          </w:p>
        </w:tc>
        <w:tc>
          <w:tcPr>
            <w:tcW w:w="6800" w:type="dxa"/>
          </w:tcPr>
          <w:p w:rsidR="00E3567D">
            <w:pPr>
              <w:widowControl/>
              <w:adjustRightInd w:val="0"/>
              <w:snapToGrid w:val="0"/>
              <w:jc w:val="left"/>
              <w:rPr>
                <w:rFonts w:ascii="仿宋" w:eastAsia="仿宋" w:hAnsi="仿宋" w:cs="仿宋"/>
                <w:color w:val="000000"/>
                <w:sz w:val="24"/>
              </w:rPr>
            </w:pPr>
            <w:r>
              <w:rPr>
                <w:rFonts w:ascii="仿宋" w:eastAsia="仿宋" w:hAnsi="仿宋" w:cs="仿宋" w:hint="eastAsia"/>
                <w:color w:val="000000"/>
                <w:sz w:val="24"/>
              </w:rPr>
              <w:t>3301040160015309811-322313</w:t>
            </w:r>
          </w:p>
        </w:tc>
      </w:tr>
      <w:tr>
        <w:tblPrEx>
          <w:tblW w:w="8950" w:type="dxa"/>
          <w:tblInd w:w="8" w:type="dxa"/>
          <w:tblLayout w:type="fixed"/>
          <w:tblLook w:val="04A0"/>
        </w:tblPrEx>
        <w:trPr>
          <w:trHeight w:val="301"/>
        </w:trPr>
        <w:tc>
          <w:tcPr>
            <w:tcW w:w="2150" w:type="dxa"/>
          </w:tcPr>
          <w:p w:rsidR="00E3567D">
            <w:pPr>
              <w:widowControl/>
              <w:adjustRightInd w:val="0"/>
              <w:snapToGrid w:val="0"/>
              <w:jc w:val="left"/>
              <w:rPr>
                <w:rFonts w:ascii="仿宋" w:eastAsia="仿宋" w:hAnsi="仿宋" w:cs="仿宋"/>
                <w:color w:val="000000"/>
                <w:sz w:val="24"/>
              </w:rPr>
            </w:pPr>
            <w:r>
              <w:rPr>
                <w:rFonts w:ascii="仿宋" w:eastAsia="仿宋" w:hAnsi="仿宋" w:cs="仿宋" w:hint="eastAsia"/>
                <w:color w:val="000000"/>
                <w:sz w:val="24"/>
              </w:rPr>
              <w:t>开户行</w:t>
            </w:r>
          </w:p>
        </w:tc>
        <w:tc>
          <w:tcPr>
            <w:tcW w:w="6800" w:type="dxa"/>
          </w:tcPr>
          <w:p w:rsidR="00E3567D">
            <w:pPr>
              <w:widowControl/>
              <w:adjustRightInd w:val="0"/>
              <w:snapToGrid w:val="0"/>
              <w:jc w:val="left"/>
              <w:rPr>
                <w:rFonts w:ascii="仿宋" w:eastAsia="仿宋" w:hAnsi="仿宋" w:cs="仿宋"/>
                <w:color w:val="000000"/>
                <w:sz w:val="24"/>
              </w:rPr>
            </w:pPr>
            <w:r>
              <w:rPr>
                <w:rFonts w:ascii="仿宋" w:eastAsia="仿宋" w:hAnsi="仿宋" w:cs="仿宋" w:hint="eastAsia"/>
                <w:color w:val="000000"/>
                <w:sz w:val="24"/>
              </w:rPr>
              <w:t>杭州银行总行营业部</w:t>
            </w:r>
          </w:p>
        </w:tc>
      </w:tr>
    </w:tbl>
    <w:p w:rsidR="00E3567D"/>
    <w:p w:rsidR="00E3567D">
      <w:pPr>
        <w:widowControl/>
        <w:adjustRightInd w:val="0"/>
        <w:snapToGrid w:val="0"/>
        <w:ind w:firstLine="480" w:firstLineChars="200"/>
        <w:jc w:val="left"/>
        <w:rPr>
          <w:rFonts w:ascii="仿宋" w:eastAsia="仿宋" w:hAnsi="仿宋"/>
          <w:color w:val="404040"/>
          <w:kern w:val="0"/>
          <w:sz w:val="24"/>
        </w:rPr>
      </w:pPr>
    </w:p>
    <w:p w:rsidR="00E3567D">
      <w:pPr>
        <w:ind w:left="360"/>
        <w:jc w:val="right"/>
        <w:rPr>
          <w:rFonts w:ascii="仿宋" w:eastAsia="仿宋" w:hAnsi="仿宋"/>
          <w:sz w:val="24"/>
        </w:rPr>
      </w:pPr>
    </w:p>
    <w:p w:rsidR="00E3567D">
      <w:pPr>
        <w:ind w:left="360"/>
        <w:jc w:val="right"/>
        <w:rPr>
          <w:rFonts w:ascii="仿宋" w:eastAsia="仿宋" w:hAnsi="仿宋"/>
          <w:sz w:val="24"/>
        </w:rPr>
      </w:pPr>
      <w:r>
        <w:rPr>
          <w:rFonts w:ascii="仿宋" w:eastAsia="仿宋" w:hAnsi="仿宋" w:hint="eastAsia"/>
          <w:sz w:val="24"/>
        </w:rPr>
        <w:t>杭银理财</w:t>
      </w:r>
      <w:r>
        <w:rPr>
          <w:rFonts w:ascii="仿宋" w:eastAsia="仿宋" w:hAnsi="仿宋" w:hint="eastAsia"/>
          <w:sz w:val="24"/>
        </w:rPr>
        <w:t>有限责任公司</w:t>
      </w:r>
    </w:p>
    <w:p w:rsidR="00E3567D">
      <w:pPr>
        <w:jc w:val="right"/>
        <w:rPr>
          <w:rFonts w:ascii="仿宋" w:eastAsia="仿宋" w:hAnsi="仿宋"/>
          <w:sz w:val="24"/>
        </w:rPr>
      </w:pPr>
      <w:r>
        <w:rPr>
          <w:rFonts w:ascii="仿宋" w:eastAsia="仿宋" w:hAnsi="仿宋"/>
          <w:sz w:val="24"/>
        </w:rPr>
        <w:t>2025年1月15日</w:t>
      </w:r>
    </w:p>
    <w:p w:rsidR="00E3567D">
      <w:pPr>
        <w:rPr>
          <w:rFonts w:ascii="仿宋" w:eastAsia="仿宋" w:hAnsi="仿宋"/>
          <w:sz w:val="24"/>
        </w:rPr>
      </w:pPr>
    </w:p>
    <w:sectPr>
      <w:headerReference w:type="default" r:id="rId7"/>
      <w:pgSz w:w="11906" w:h="16838"/>
      <w:pgMar w:top="2551" w:right="1803" w:bottom="2551" w:left="1803" w:header="851" w:footer="992" w:gutter="0"/>
      <w:cols w:space="720"/>
      <w:docGrid w:type="lines" w:linePitch="317"/>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 w:name="方正仿宋简体">
    <w:altName w:val="微软雅黑"/>
    <w:charset w:val="86"/>
    <w:family w:val="roman"/>
    <w:pitch w:val="default"/>
    <w:sig w:usb0="00000000" w:usb1="00000000" w:usb2="00000000" w:usb3="00000000" w:csb0="00040000" w:csb1="00000000"/>
  </w:font>
  <w:font w:name="方正楷体简体">
    <w:altName w:val="宋体"/>
    <w:charset w:val="86"/>
    <w:family w:val="auto"/>
    <w:pitch w:val="default"/>
    <w:sig w:usb0="00000000" w:usb1="00000000" w:usb2="00000010" w:usb3="00000000" w:csb0="00040000" w:csb1="00000000"/>
  </w:font>
  <w:font w:name="仿宋_GB2312">
    <w:altName w:val="仿宋"/>
    <w:charset w:val="86"/>
    <w:family w:val="modern"/>
    <w:pitch w:val="default"/>
    <w:sig w:usb0="00000000" w:usb1="00000000" w:usb2="0000000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E3567D">
    <w:pPr>
      <w:pStyle w:val="Header"/>
    </w:pPr>
    <w:r>
      <w:rPr>
        <w:noProof/>
      </w:rPr>
      <w:drawing>
        <wp:anchor distT="0" distB="0" distL="114300" distR="114300" simplePos="0" relativeHeight="251658240" behindDoc="1" locked="0" layoutInCell="1" allowOverlap="1">
          <wp:simplePos x="0" y="0"/>
          <wp:positionH relativeFrom="margin">
            <wp:align>center</wp:align>
          </wp:positionH>
          <wp:positionV relativeFrom="margin">
            <wp:align>center</wp:align>
          </wp:positionV>
          <wp:extent cx="7543800" cy="10671810"/>
          <wp:effectExtent l="0" t="0" r="0" b="15240"/>
          <wp:wrapNone/>
          <wp:docPr id="1" name="WordPictureWatermark140627" descr="微信图片_202208171443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ordPictureWatermark140627" descr="微信图片_20220817144322"/>
                  <pic:cNvPicPr>
                    <a:picLocks noChangeAspect="1"/>
                  </pic:cNvPicPr>
                </pic:nvPicPr>
                <pic:blipFill>
                  <a:blip xmlns:r="http://schemas.openxmlformats.org/officeDocument/2006/relationships" r:embed="rId1"/>
                  <a:stretch>
                    <a:fillRect/>
                  </a:stretch>
                </pic:blipFill>
                <pic:spPr>
                  <a:xfrm>
                    <a:off x="0" y="0"/>
                    <a:ext cx="7543800" cy="10671810"/>
                  </a:xfrm>
                  <a:prstGeom prst="rect">
                    <a:avLst/>
                  </a:prstGeom>
                  <a:noFill/>
                  <a:ln>
                    <a:noFill/>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44329"/>
    <w:rsid w:val="A9BBAA6C"/>
    <w:rsid w:val="DFB56E1E"/>
    <w:rsid w:val="0000613F"/>
    <w:rsid w:val="00022C2C"/>
    <w:rsid w:val="00023355"/>
    <w:rsid w:val="00087AED"/>
    <w:rsid w:val="000B06BF"/>
    <w:rsid w:val="0013416E"/>
    <w:rsid w:val="0020438E"/>
    <w:rsid w:val="00212293"/>
    <w:rsid w:val="002205E8"/>
    <w:rsid w:val="00231AEB"/>
    <w:rsid w:val="0025440D"/>
    <w:rsid w:val="0027269A"/>
    <w:rsid w:val="002A1367"/>
    <w:rsid w:val="002D10F7"/>
    <w:rsid w:val="002F72BC"/>
    <w:rsid w:val="00327FBD"/>
    <w:rsid w:val="0033591F"/>
    <w:rsid w:val="00362F94"/>
    <w:rsid w:val="003668ED"/>
    <w:rsid w:val="003968D7"/>
    <w:rsid w:val="00432269"/>
    <w:rsid w:val="004338F1"/>
    <w:rsid w:val="00473AB5"/>
    <w:rsid w:val="0048217B"/>
    <w:rsid w:val="0048508B"/>
    <w:rsid w:val="004E245D"/>
    <w:rsid w:val="00507148"/>
    <w:rsid w:val="005B2840"/>
    <w:rsid w:val="005D5C58"/>
    <w:rsid w:val="00666FDF"/>
    <w:rsid w:val="00677DDF"/>
    <w:rsid w:val="006818EA"/>
    <w:rsid w:val="006D2030"/>
    <w:rsid w:val="007039A5"/>
    <w:rsid w:val="00705304"/>
    <w:rsid w:val="007100BC"/>
    <w:rsid w:val="00777584"/>
    <w:rsid w:val="007848A1"/>
    <w:rsid w:val="007C5998"/>
    <w:rsid w:val="0082567C"/>
    <w:rsid w:val="00885289"/>
    <w:rsid w:val="00A0346D"/>
    <w:rsid w:val="00A17047"/>
    <w:rsid w:val="00A225DF"/>
    <w:rsid w:val="00A64373"/>
    <w:rsid w:val="00AE4552"/>
    <w:rsid w:val="00B34785"/>
    <w:rsid w:val="00B756E5"/>
    <w:rsid w:val="00B87036"/>
    <w:rsid w:val="00BE0A99"/>
    <w:rsid w:val="00C1406D"/>
    <w:rsid w:val="00C44329"/>
    <w:rsid w:val="00CB5E81"/>
    <w:rsid w:val="00CC502C"/>
    <w:rsid w:val="00CE6278"/>
    <w:rsid w:val="00D07F2D"/>
    <w:rsid w:val="00D10765"/>
    <w:rsid w:val="00D71046"/>
    <w:rsid w:val="00DC4B8B"/>
    <w:rsid w:val="00DC4BC5"/>
    <w:rsid w:val="00DD0B7A"/>
    <w:rsid w:val="00E3567D"/>
    <w:rsid w:val="00E57375"/>
    <w:rsid w:val="00EF365D"/>
    <w:rsid w:val="00F001FB"/>
    <w:rsid w:val="00F124AF"/>
    <w:rsid w:val="00F152BF"/>
    <w:rsid w:val="00F21B03"/>
    <w:rsid w:val="00F24F3E"/>
    <w:rsid w:val="00F5167C"/>
    <w:rsid w:val="00F819C2"/>
    <w:rsid w:val="00FA454C"/>
    <w:rsid w:val="02644E3C"/>
    <w:rsid w:val="1CB414FC"/>
    <w:rsid w:val="25B44A68"/>
    <w:rsid w:val="37BEA3BA"/>
    <w:rsid w:val="3A5B0493"/>
    <w:rsid w:val="465C3E6B"/>
    <w:rsid w:val="55382A61"/>
    <w:rsid w:val="5E542984"/>
    <w:rsid w:val="5E8A20EC"/>
    <w:rsid w:val="6B900661"/>
    <w:rsid w:val="6FD775CA"/>
    <w:rsid w:val="71217FA3"/>
    <w:rsid w:val="7FFA8868"/>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14:docId w14:val="24927E58"/>
  <w15:docId w15:val="{3F11A981-4E78-424C-B21B-1DDFC85B09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uiPriority="39" w:unhideWhenUsed="1" w:qFormat="1"/>
    <w:lsdException w:name="toc 3"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iPriority="0"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qFormat="1"/>
    <w:lsdException w:name="Body Text"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qFormat="1"/>
    <w:lsdException w:name="Table Grid" w:uiPriority="0"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jc w:val="both"/>
    </w:pPr>
    <w:rPr>
      <w:rFonts w:ascii="等线" w:eastAsia="等线" w:hAnsi="等线"/>
      <w:kern w:val="2"/>
      <w:sz w:val="21"/>
      <w:szCs w:val="24"/>
    </w:rPr>
  </w:style>
  <w:style w:type="paragraph" w:styleId="Heading2">
    <w:name w:val="heading 2"/>
    <w:basedOn w:val="Normal"/>
    <w:next w:val="Normal"/>
    <w:link w:val="2"/>
    <w:unhideWhenUsed/>
    <w:qFormat/>
    <w:pPr>
      <w:keepNext/>
      <w:keepLines/>
      <w:spacing w:line="400" w:lineRule="exact"/>
      <w:jc w:val="left"/>
      <w:outlineLvl w:val="1"/>
    </w:pPr>
    <w:rPr>
      <w:rFonts w:ascii="Arial" w:eastAsia="宋体" w:hAnsi="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a2"/>
    <w:unhideWhenUsed/>
    <w:qFormat/>
    <w:pPr>
      <w:spacing w:after="120"/>
    </w:pPr>
    <w:rPr>
      <w:rFonts w:ascii="Times New Roman" w:eastAsia="方正仿宋简体" w:hAnsi="Times New Roman"/>
      <w:sz w:val="32"/>
      <w:szCs w:val="20"/>
    </w:rPr>
  </w:style>
  <w:style w:type="paragraph" w:styleId="TOC3">
    <w:name w:val="toc 3"/>
    <w:basedOn w:val="Normal"/>
    <w:next w:val="Normal"/>
    <w:uiPriority w:val="39"/>
    <w:unhideWhenUsed/>
    <w:qFormat/>
    <w:pPr>
      <w:ind w:left="840" w:leftChars="400"/>
    </w:pPr>
  </w:style>
  <w:style w:type="paragraph" w:styleId="BalloonText">
    <w:name w:val="Balloon Text"/>
    <w:basedOn w:val="Normal"/>
    <w:link w:val="a1"/>
    <w:uiPriority w:val="99"/>
    <w:unhideWhenUsed/>
    <w:qFormat/>
    <w:rPr>
      <w:sz w:val="18"/>
      <w:szCs w:val="18"/>
    </w:rPr>
  </w:style>
  <w:style w:type="paragraph" w:styleId="Footer">
    <w:name w:val="footer"/>
    <w:basedOn w:val="Normal"/>
    <w:link w:val="a0"/>
    <w:uiPriority w:val="99"/>
    <w:unhideWhenUsed/>
    <w:qFormat/>
    <w:pPr>
      <w:tabs>
        <w:tab w:val="center" w:pos="4153"/>
        <w:tab w:val="right" w:pos="8306"/>
      </w:tabs>
      <w:snapToGrid w:val="0"/>
      <w:jc w:val="left"/>
    </w:pPr>
    <w:rPr>
      <w:sz w:val="18"/>
      <w:szCs w:val="18"/>
    </w:rPr>
  </w:style>
  <w:style w:type="paragraph" w:styleId="Header">
    <w:name w:val="header"/>
    <w:basedOn w:val="Normal"/>
    <w:link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TOC2">
    <w:name w:val="toc 2"/>
    <w:basedOn w:val="Normal"/>
    <w:next w:val="Normal"/>
    <w:uiPriority w:val="39"/>
    <w:unhideWhenUsed/>
    <w:qFormat/>
    <w:pPr>
      <w:ind w:left="420" w:leftChars="200"/>
    </w:pPr>
  </w:style>
  <w:style w:type="paragraph" w:styleId="NormalWeb">
    <w:name w:val="Normal (Web)"/>
    <w:basedOn w:val="Normal"/>
    <w:unhideWhenUsed/>
    <w:qFormat/>
    <w:pPr>
      <w:widowControl/>
      <w:spacing w:before="100" w:beforeAutospacing="1" w:after="100" w:afterAutospacing="1"/>
    </w:pPr>
    <w:rPr>
      <w:rFonts w:ascii="宋体" w:eastAsia="宋体" w:hAnsi="宋体"/>
      <w:kern w:val="0"/>
      <w:sz w:val="24"/>
      <w:szCs w:val="20"/>
    </w:rPr>
  </w:style>
  <w:style w:type="table" w:styleId="TableGrid">
    <w:name w:val="Table Grid"/>
    <w:basedOn w:val="TableNormal"/>
    <w:unhideWhenUsed/>
    <w:qFormat/>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a">
    <w:name w:val="页眉 字符"/>
    <w:basedOn w:val="DefaultParagraphFont"/>
    <w:link w:val="Header"/>
    <w:qFormat/>
    <w:rPr>
      <w:sz w:val="18"/>
    </w:rPr>
  </w:style>
  <w:style w:type="character" w:customStyle="1" w:styleId="a0">
    <w:name w:val="页脚 字符"/>
    <w:basedOn w:val="DefaultParagraphFont"/>
    <w:link w:val="Footer"/>
    <w:uiPriority w:val="99"/>
    <w:qFormat/>
    <w:rPr>
      <w:kern w:val="2"/>
      <w:sz w:val="18"/>
      <w:szCs w:val="18"/>
    </w:rPr>
  </w:style>
  <w:style w:type="character" w:customStyle="1" w:styleId="a1">
    <w:name w:val="批注框文本 字符"/>
    <w:basedOn w:val="DefaultParagraphFont"/>
    <w:link w:val="BalloonText"/>
    <w:uiPriority w:val="99"/>
    <w:semiHidden/>
    <w:qFormat/>
    <w:rPr>
      <w:kern w:val="2"/>
      <w:sz w:val="18"/>
      <w:szCs w:val="18"/>
    </w:rPr>
  </w:style>
  <w:style w:type="character" w:customStyle="1" w:styleId="2">
    <w:name w:val="标题 2 字符"/>
    <w:basedOn w:val="DefaultParagraphFont"/>
    <w:link w:val="Heading2"/>
    <w:qFormat/>
    <w:rPr>
      <w:rFonts w:ascii="Arial" w:eastAsia="宋体" w:hAnsi="Arial"/>
      <w:b/>
    </w:rPr>
  </w:style>
  <w:style w:type="character" w:customStyle="1" w:styleId="a2">
    <w:name w:val="正文文本 字符"/>
    <w:basedOn w:val="DefaultParagraphFont"/>
    <w:link w:val="BodyText"/>
    <w:qFormat/>
    <w:rPr>
      <w:rFonts w:ascii="Times New Roman" w:eastAsia="方正仿宋简体" w:hAnsi="Times New Roman" w:cs="Times New Roman"/>
      <w:sz w:val="32"/>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image" Target="media/image1.wmf" /><Relationship Id="rId6" Type="http://schemas.openxmlformats.org/officeDocument/2006/relationships/oleObject" Target="embeddings/oleObject1.bin" /><Relationship Id="rId7" Type="http://schemas.openxmlformats.org/officeDocument/2006/relationships/header" Target="header1.xml" /><Relationship Id="rId8" Type="http://schemas.openxmlformats.org/officeDocument/2006/relationships/theme" Target="theme/theme1.xml" /><Relationship Id="rId9" Type="http://schemas.openxmlformats.org/officeDocument/2006/relationships/styles" Target="styles.xml" /></Relationships>
</file>

<file path=word/_rels/header1.xml.rels><?xml version="1.0" encoding="utf-8" standalone="yes"?><Relationships xmlns="http://schemas.openxmlformats.org/package/2006/relationships"><Relationship Id="rId1" Type="http://schemas.openxmlformats.org/officeDocument/2006/relationships/image" Target="media/image2.jpeg" /></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8</Pages>
  <Words>435</Words>
  <Characters>2485</Characters>
  <Application>Microsoft Office Word</Application>
  <DocSecurity>0</DocSecurity>
  <Lines>20</Lines>
  <Paragraphs>5</Paragraphs>
  <ScaleCrop>false</ScaleCrop>
  <Company/>
  <LinksUpToDate>false</LinksUpToDate>
  <CharactersWithSpaces>2915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 c</dc:creator>
  <cp:lastModifiedBy>hspcadmin</cp:lastModifiedBy>
  <cp:revision>13</cp:revision>
  <dcterms:created xsi:type="dcterms:W3CDTF">2024-04-11T10:02:00Z</dcterms:created>
  <dcterms:modified xsi:type="dcterms:W3CDTF">2024-11-11T11:26:00Z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C1B0491A69F9683744CD34647570BA27_42</vt:lpwstr>
  </property>
  <property fmtid="{D5CDD505-2E9C-101B-9397-08002B2CF9AE}" pid="3" name="KSOProductBuildVer">
    <vt:lpwstr>2052-11.8.2.8411</vt:lpwstr>
  </property>
</Properties>
</file>