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杭银理财幸福99半年添益2011期理财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杭银理财幸福99半年添益2011期理财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TYG6M2011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Z7002221000176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2020年4月8日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开放式净值型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2.20-3.20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468,563,271.73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103.96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468,563,271.73</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398,758,118.56</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1.1750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1.1750</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半年添益2011期</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TYG6M2011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1.1750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1.1750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468,557,116.66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半年添益2011期W款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TYG6M2011W</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1.1750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1.1750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6,155.07</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半年添益2011期</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2.78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3.70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半年添益2011期W款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2.80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3.70</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1.68%，较年初下行88bp；1年期国股存单收益率1.58%，较年初下行86bp；3年期AA+城投债收益率1.91%，较年初下行96bp；3年期AAA银行二级资本债收益率1.76%，较年初下行112bp；相比起来，二级资本债收益率下行幅度更大。本产品主要配置固收类资产，债券部分以信用债为主，并且通过利率债、商业银行二级资本债、公募基金等把握交易机会，增厚产品收益。综合运用杠杆策略、久期策略、交易策略等，产品净值收益整体表现较好。</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预期一季度债券收益率整体保持低位震荡偏多，策略上，根据负债、市场调整杠杆、久期等，适时把握利率债或者中高等级债券的阶段性交易机会，同时通过择券配置中短久期信用债获取票息收益。</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本产品主要直接或者间接投资于债券类资产，投资的债券资产流动性状况良好，正常情况下能够及时变现资产，筹集资金，满足本产品的投资者赎回需求或其他支付要求。</w:t>
        <w:cr/>
        <w:t xml:space="preserve">    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19.03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89.76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0.40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0.79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80.89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24工行TLAC非资本债01A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20,526,088.77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22工商银行二级03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10,643,582.88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24附息国债06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10,594,113.42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22六合交通PPN001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10,372,301.20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21桐庐新城PPN002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10,232,570.41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24汇金MTN005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10,194,344.11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21九联投资PPN002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10,175,203.42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21高控03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9,980,438.36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他行存款(727001-000338)</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9,812,892.46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24中信银行CD323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7,265,486.44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1.55</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18,001,356.17</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3.84</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杭州萧山环境集团有限公司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粤财信托·常华100号集合资金信托计划-萧山环境</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2025-05-09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1,962,089.40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338,182,596.21</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398,758,118.56</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r>
        <w:tblPrEx>
          <w:tblW w:w="8994" w:type="dxa"/>
          <w:tblInd w:w="67" w:type="dxa"/>
          <w:tblLayout w:type="fixed"/>
          <w:tblLook w:val="04A0"/>
        </w:tblPrEx>
        <w:trPr>
          <w:trHeight w:val="187"/>
        </w:trPr>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托管费</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50,954.90</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杭银理财有限责任公司幸福99半年添益第2011期</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3301040160015309811-332011</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