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杭银理财幸福99半年添益2012期理财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杭银理财幸福99半年添益2012期理财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TYG6M2012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Z7002221000177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2020年4月15日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开放式净值型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2.20-3.20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929,708,805.87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109.75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929,708,805.87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788,712,929.29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1.1787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1.1787</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半年添益2012期</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TYG6M2012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1.1787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1.1787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929,271,317.70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半年添益2012期W款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TYG6M2012W</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1.1787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1.1787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437,488.17</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半年添益2012期</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3.79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半年添益2012期W款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3.79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1.68%，较年初下行88bp；1年期国股存单收益率1.58%，较年初下行86bp；3年期AA+城投债收益率1.91%，较年初下行96bp；3年期AAA银行二级资本债收益率1.76%，较年初下行112bp；相比起来，二级资本债收益率下行幅度更大。本产品主要配置固收类资产，债券部分以信用债为主，并且通过利率债、商业银行二级资本债、公募基金等把握交易机会，增厚产品收益。综合运用杠杆策略、久期策略、交易策略等，产品净值收益整体表现较好。</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预期一季度债券收益率整体保持低位震荡偏多，策略上，根据负债、市场调整杠杆、久期等，适时把握利率债或者中高等级债券的阶段性交易机会，同时通过择券配置中短久期信用债获取票息收益。</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本产品主要直接或者间接投资于债券类资产，投资的债券资产流动性状况良好，正常情况下能够及时变现资产，筹集资金，满足本产品的投资者赎回需求或其他支付要求。</w:t>
        <w:cr/>
        <w:t xml:space="preserve">    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0.99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26.69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86.42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0.94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0.98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0.96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67.48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24工行TLAC非资本债01A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51,315,221.92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5.52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24中国银行CD063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49,344,642.05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江苏银行股份有限公司</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26,441,269.17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22山东债43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21,463,646.85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22农行二级资本债02A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20,845,007.40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21邮储银行二级01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20,808,366.03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22盛裕投资MTN001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20,717,265.75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21江门滨江PPN002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20,688,713.70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20东阳02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20,422,734.25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24上海06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15,792,067.50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1.70</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89,006,756.17</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9.57</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811,866,997.93</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788,712,929.29</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r>
        <w:tblPrEx>
          <w:tblW w:w="8994" w:type="dxa"/>
          <w:tblInd w:w="67" w:type="dxa"/>
          <w:tblLayout w:type="fixed"/>
          <w:tblLook w:val="04A0"/>
        </w:tblPrEx>
        <w:trPr>
          <w:trHeight w:val="187"/>
        </w:trPr>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托管费</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122,134.59</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杭银理财有限责任公司幸福99半年添益第2012期</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3301040160015309811-332012</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