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幸福99丰裕固收386天24207期理财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幸福99丰裕固收386天24207期理财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FYG24207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Z7002224000256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2024年8月27日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2025年9月17日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2,294,217,596.12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113.12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2,294,217,596.12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2,268,981,895.00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1.0111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1.0111</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丰裕固收24207期A款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FYG24207A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572,549,923.42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丰裕固收24207期B款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FYG24207B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186,327,275.23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丰裕固收24207期C款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FYG24207C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227,810,535.52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丰裕固收24207期D款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FYG24207D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113,752,020.00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丰裕固收24207期E款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FYG24207E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1,101,598,708.97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丰裕固收24207期F款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FYG24207F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92,179,132.98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丰裕固收24207期A款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丰裕固收24207期B款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丰裕固收24207期C款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丰裕固收24207期D款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丰裕固收24207期E款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丰裕固收24207期F款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3.27</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0.64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28.63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49.01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40.78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8.54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71.25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中原信托·温州瓯海城投信托贷款（鹏元6期第1号）</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499,331,514.79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21.77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百瑞恒益1525号集合资金信托计划（瑞杭1号）-丽水经开</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399,333,218.16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17.41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21工商银行二级02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155,291,673.29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平安信托·启元四十三号-临平城建信托贷款-3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147,140,433.96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21建设银行二级01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114,541,235.48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22常高新PPN003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51,031,273.29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T 3 7/8 08/15/34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48,547,215.87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中原财富-鹏元5期-固定收益组合投资系列 集合资金信托计划第【3】号信托单元-丽水南城</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34,025,142.47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22交通银行二级01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31,961,837.21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23河海01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31,533,739.73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294,115,208.77</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12.82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丽水南城新区投资发展有限公司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中原财富-鹏元5期-固定收益组合投资系列 集合资金信托计划第【3】号信托单元-丽水南城</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34,025,142.47</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丽水经济技术开发区实业发展集团有限公司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百瑞恒益1525号集合资金信托计划（瑞杭1号）-丽水经开</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399,333,218.16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宁波宁南新城开发投资有限公司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中原信托·宁波宁南开投信托贷款（鹏元2期第4号）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999,823.29</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杭州临平城市建设集团有限公司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平安信托·启元四十三号-临平城建信托贷款-3</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147,140,433.96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浙江瓯海城市建设投资集团有限公司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中原信托·温州瓯海城投信托贷款（鹏元6期第1号）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499,331,514.79</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绍兴滨海新区发展集团有限公司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上海信托·绍兴滨海信托计划-2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20,002,855.28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2,268,981,895.00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2,268,981,895.00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297,027.23</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141,247.52</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3</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卖出</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156,377.38</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4</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1,412,475.16</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5</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50,000,000.00</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6</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卖出</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1,357,902.43</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7</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416,819.26</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8</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卖出</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467,286.48</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9</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172,714.32</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杭银理财幸福99丰裕固收386天24207期理财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3301040160015309811-5124207</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