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杭银理财幸福99半年添益1802期理财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杭银理财幸福99半年添益1802期理财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TYG6M1802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Z7002221000166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2018年11月16日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开放式净值型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2.20-3.20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1,115,431,472.52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110.37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1,115,431,472.52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886,562,558.37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1.2581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1.2581</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半年添益1802期</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TYG6M1802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1.2581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1.2581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1,109,573,831.80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半年添益1802期W款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TYG6M1802W</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1.2581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1.2581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5,857,640.72</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半年添益1802期</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4.66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半年添益1802期W款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4.66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4.21</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1.68%，较年初下行88bp；1年期国股存单收益率1.58%，较年初下行86bp；3年期AA+城投债收益率1.91%，较年初下行96bp；3年期AAA银行二级资本债收益率1.76%，较年初下行112bp；相比起来，二级资本债收益率下行幅度更大。本产品主要配置固收类资产，债券部分以信用债为主，并且通过利率债、商业银行二级资本债、公募基金等把握交易机会，增厚产品收益。综合运用杠杆策略、久期策略、交易策略等，产品净值收益整体表现较好。</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预期一季度债券收益率整体保持低位震荡偏多，策略上，根据负债、市场调整杠杆、久期等，适时把握利率债或者中高等级债券的阶段性交易机会，同时通过择券配置中短久期信用债获取票息收益。</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本产品主要直接或者间接投资于债券类资产，投资的债券资产流动性状况良好，正常情况下能够及时变现资产，筹集资金，满足本产品的投资者赎回需求或其他支付要求。</w:t>
        <w:cr/>
        <w:t xml:space="preserve">    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29.51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88.40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70.45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21建设银行二级03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51,975,219.86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21成经债</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40,661,128.77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22农行二级资本债02A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31,267,511.10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24兰溪城投PPN002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25,701,782.53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江苏银行股份有限公司</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24,594,741.49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22工行二级资本债05A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21,138,093.97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21宁海交通PPN001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20,946,553.22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24江苏债20</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20,870,032.75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21交通银行二级</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20,854,560.00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22工行二级资本债04A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20,776,859.45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1.86</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115,015,457.57</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10.31</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955,382,762.25</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886,562,558.37</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23六合交通PPN001</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10,481,474.59</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100,000.00</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24兰溪城投PPN002</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25,002,465.75</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250,000.00</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r>
        <w:tblPrEx>
          <w:tblW w:w="8994" w:type="dxa"/>
          <w:tblInd w:w="67" w:type="dxa"/>
          <w:tblLayout w:type="fixed"/>
          <w:tblLook w:val="04A0"/>
        </w:tblPrEx>
        <w:trPr>
          <w:trHeight w:val="187"/>
        </w:trPr>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托管费</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153,899.08</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杭银理财有限责任公司幸福99半年添益1802期</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3301040160015309811-1001802</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