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杭银理财幸福99丰裕固收23111期（混合估值）749天理财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杭银理财幸福99丰裕固收23111期（混合估值）749天理财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FYG23111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Z7002223000130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2023年6月29日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2025年7月17日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555,564,005.67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109.40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555,564,005.67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520,687,064.00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1.0670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1.0670</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丰裕固收23111期A款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FYG23111A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1.0655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1.0655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277,666,020.54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丰裕固收23111期D款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FYG23111D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1.0686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1.0686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254,900,287.64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丰裕固收23111期E款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FYG23111E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1.0670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1.0670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22,997,697.49</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丰裕固收23111期A款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丰裕固收23111期D款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4.54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丰裕固收23111期E款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4.44</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65.19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67.74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30.62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30.62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140,263,933.48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25.25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23即墨城投PPN003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46,570,314.72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23凤城河MTN002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41,959,604.93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20江津02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40,956,936.75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23融控02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33,643,142.40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20淄博城运MTN001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31,038,260.82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20舟蓬02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30,825,188.96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22南岸城建MTN001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30,479,538.13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25,396,434.25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20宜昌高新MTN001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24,636,455.17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45,019,232.88</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8.10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诸暨市城乡投资集团有限公司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23诸暨城乡11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2025-07-16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20,445,363.84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金华金开国有资本投资有限公司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140,263,933.48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金华金开国有资本投资有限公司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25,396,434.25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520,687,064.00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520,687,064.00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杭银理财幸福99丰裕固收23111期理财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3301040160015309811-5123111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