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杭银理财幸福99半年添益2014期理财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杭银理财幸福99半年添益2014期理财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TYG6M2014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Z7002221000179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2020年5月7日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979,343,334.26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108.85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979,343,334.26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830,037,086.08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1.1798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1.1798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半年添益2014期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969,052,457.76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半年添益2014期W款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TYG6M2014W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1.1797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1.1797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10,290,876.50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半年添益2014期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半年添益2014期W款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3.86</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93.34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82,104,355.07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20中国银行二级01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51,492,699.32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41,045,820.27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20交通银行二级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30,779,688.08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21成经债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28,443,750.14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24附息国债06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26,485,283.56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他行存款(727001-000338)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24,542,006.92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21虞水02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19,866,084.93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22扬庆01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19,332,389.04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22淮安经开MTN001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15,593,727.33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86,008,805.47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8.78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903,490,202.29</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830,037,086.08</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136,430.51</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杭银理财有限责任公司幸福99半年添益第2014期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3301040160015309811-332014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