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杭银理财幸福99丰裕固收23079期（稳利低波款）797天理财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杭银理财幸福99丰裕固收23079期（稳利低波款）797天理财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FYG23079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Z7002223000092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2023年5月5日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2025年7月10日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311,255,725.90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139.27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311,255,725.90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290,599,935.00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1.0711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1.0711</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丰裕固收23079期A款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FYG23079A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1.0701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1.0701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214,478,470.01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丰裕固收23079期D款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FYG23079D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1.0734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1.0734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93,939,454.43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丰裕固收23079期E款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FYG23079E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1.0717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1.0717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2,837,801.46</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丰裕固收23079期A款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丰裕固收23079期D款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4.42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丰裕固收23079期E款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81.08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81.08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18.72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18.72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23肇庆新区01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50,128,791.10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16.11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23淮安高新05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31,001,362.19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20成都开投PPN002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25,481,110.89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22安吉西北PPN002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24,477,568.67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7.86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22西岸旅游PPN001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20,648,492.20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20交通01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20,593,849.33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20鑫华农业PPN001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20,519,515.41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22石狮产投PPN001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20,485,942.19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22安投01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20,463,771.92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22东泰01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20,451,962.97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118,050,298.87</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37.93</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淮安高新控股有限公司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23淮安高新05</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2025-06-04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31,001,362.19</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23肇庆新区01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2025-06-04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50,128,791.10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290,599,935.00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290,599,935.00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杭银理财幸福99丰裕固收23079期理财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3301040160015309811-5123079</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