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CAWMR6BT7RSA0TTGRZR8KLJ87NLMOYVR9J06BJDWXGP8TFWTZ7BJIC0QFSTTPDIRBEMX9OZLZH078LNJQUFT0F8O8RFMWHCB8FODQHB30B30B15331A4E8E5D2F2D7E7A016CB5B" Type="http://schemas.microsoft.com/office/2006/relationships/officeDocumentMain" Target="docProps/core.xml"/><Relationship Id="DQWMK6B7796Q06BGRZR8QLJF7NL0OYPREJ06NJDWXFB8TG5T6MBJIC0PFY5TP8RRXOMXSOZGZIWD8IJJRJFAQFFX8RL0WIWBBJOOYHB324EC70D31075D2DC74A7F509E3B3EC42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285" w:lineRule="atLeast"/>
        <w:jc w:val="center"/>
        <w:rPr>
          <w:rFonts w:ascii="微软雅黑" w:hAnsi="微软雅黑" w:eastAsia="微软雅黑" w:cs="微软雅黑"/>
          <w:color w:val="191919"/>
          <w:sz w:val="21"/>
          <w:szCs w:val="21"/>
        </w:rPr>
      </w:pPr>
      <w:r>
        <w:rPr>
          <w:rFonts w:ascii="微软雅黑" w:hAnsi="微软雅黑" w:eastAsia="微软雅黑" w:cs="微软雅黑"/>
          <w:color w:val="191919"/>
          <w:sz w:val="21"/>
          <w:szCs w:val="21"/>
        </w:rPr>
        <w:t>关于与</w:t>
      </w:r>
      <w:r>
        <w:rPr>
          <w:rFonts w:hint="eastAsia" w:ascii="微软雅黑" w:hAnsi="微软雅黑" w:eastAsia="微软雅黑" w:cs="微软雅黑"/>
          <w:color w:val="191919"/>
          <w:sz w:val="21"/>
          <w:szCs w:val="21"/>
          <w:lang w:val="en-US" w:eastAsia="zh-CN"/>
        </w:rPr>
        <w:t>华能贵诚</w:t>
      </w:r>
      <w:r>
        <w:rPr>
          <w:rFonts w:ascii="微软雅黑" w:hAnsi="微软雅黑" w:eastAsia="微软雅黑" w:cs="微软雅黑"/>
          <w:color w:val="191919"/>
          <w:sz w:val="21"/>
          <w:szCs w:val="21"/>
        </w:rPr>
        <w:t>有限公司开展</w:t>
      </w:r>
      <w:r>
        <w:rPr>
          <w:rFonts w:hint="eastAsia" w:ascii="微软雅黑" w:hAnsi="微软雅黑" w:eastAsia="微软雅黑" w:cs="微软雅黑"/>
          <w:color w:val="191919"/>
          <w:sz w:val="21"/>
          <w:szCs w:val="21"/>
          <w:lang w:val="en-US" w:eastAsia="zh-CN"/>
        </w:rPr>
        <w:t>财富管理服务信托业务</w:t>
      </w:r>
      <w:bookmarkStart w:id="0" w:name="_GoBack"/>
      <w:bookmarkEnd w:id="0"/>
      <w:r>
        <w:rPr>
          <w:rFonts w:ascii="微软雅黑" w:hAnsi="微软雅黑" w:eastAsia="微软雅黑" w:cs="微软雅黑"/>
          <w:color w:val="191919"/>
          <w:sz w:val="21"/>
          <w:szCs w:val="21"/>
        </w:rPr>
        <w:t>合作的公告</w:t>
      </w:r>
    </w:p>
    <w:p>
      <w:pPr>
        <w:pStyle w:val="4"/>
        <w:widowControl/>
        <w:spacing w:beforeAutospacing="0" w:after="60" w:afterAutospacing="0" w:line="240" w:lineRule="atLeast"/>
        <w:jc w:val="both"/>
        <w:rPr>
          <w:rFonts w:hint="eastAsia" w:ascii="微软雅黑" w:hAnsi="微软雅黑" w:eastAsia="微软雅黑" w:cs="微软雅黑"/>
          <w:color w:val="666666"/>
          <w:sz w:val="12"/>
          <w:szCs w:val="12"/>
        </w:rPr>
      </w:pPr>
      <w:r>
        <w:rPr>
          <w:rFonts w:hint="eastAsia" w:ascii="微软雅黑" w:hAnsi="微软雅黑" w:eastAsia="微软雅黑" w:cs="微软雅黑"/>
          <w:color w:val="666666"/>
          <w:sz w:val="12"/>
          <w:szCs w:val="12"/>
        </w:rPr>
        <w:t>尊敬的客户：</w:t>
      </w:r>
    </w:p>
    <w:p>
      <w:pPr>
        <w:pStyle w:val="4"/>
        <w:widowControl/>
        <w:spacing w:beforeAutospacing="0" w:after="60" w:afterAutospacing="0" w:line="240" w:lineRule="atLeast"/>
        <w:ind w:firstLine="240" w:firstLineChars="200"/>
        <w:jc w:val="both"/>
        <w:rPr>
          <w:rFonts w:hint="eastAsia" w:ascii="微软雅黑" w:hAnsi="微软雅黑" w:eastAsia="微软雅黑" w:cs="微软雅黑"/>
          <w:sz w:val="12"/>
          <w:szCs w:val="12"/>
        </w:rPr>
      </w:pPr>
      <w:r>
        <w:rPr>
          <w:rFonts w:hint="eastAsia" w:ascii="微软雅黑" w:hAnsi="微软雅黑" w:eastAsia="微软雅黑" w:cs="微软雅黑"/>
          <w:color w:val="666666"/>
          <w:sz w:val="12"/>
          <w:szCs w:val="12"/>
        </w:rPr>
        <w:t>根据宁波通商银行股份有限公司（以下简称“本行”）与</w:t>
      </w:r>
      <w:r>
        <w:rPr>
          <w:rFonts w:hint="eastAsia" w:ascii="微软雅黑" w:hAnsi="微软雅黑" w:eastAsia="微软雅黑" w:cs="微软雅黑"/>
          <w:color w:val="666666"/>
          <w:sz w:val="12"/>
          <w:szCs w:val="12"/>
          <w:lang w:val="en-US" w:eastAsia="zh-CN"/>
        </w:rPr>
        <w:t>华能贵诚有限</w:t>
      </w:r>
      <w:r>
        <w:rPr>
          <w:rFonts w:hint="eastAsia" w:ascii="微软雅黑" w:hAnsi="微软雅黑" w:eastAsia="微软雅黑" w:cs="微软雅黑"/>
          <w:color w:val="666666"/>
          <w:sz w:val="12"/>
          <w:szCs w:val="12"/>
        </w:rPr>
        <w:t>公司（以下简称：</w:t>
      </w:r>
      <w:r>
        <w:rPr>
          <w:rFonts w:hint="eastAsia" w:ascii="微软雅黑" w:hAnsi="微软雅黑" w:eastAsia="微软雅黑" w:cs="微软雅黑"/>
          <w:color w:val="666666"/>
          <w:sz w:val="12"/>
          <w:szCs w:val="12"/>
          <w:lang w:val="en-US" w:eastAsia="zh-CN"/>
        </w:rPr>
        <w:t>华能信托</w:t>
      </w:r>
      <w:r>
        <w:rPr>
          <w:rFonts w:hint="eastAsia" w:ascii="微软雅黑" w:hAnsi="微软雅黑" w:eastAsia="微软雅黑" w:cs="微软雅黑"/>
          <w:color w:val="666666"/>
          <w:sz w:val="12"/>
          <w:szCs w:val="12"/>
        </w:rPr>
        <w:t>）签署的《</w:t>
      </w:r>
      <w:r>
        <w:rPr>
          <w:rFonts w:hint="eastAsia" w:ascii="微软雅黑" w:hAnsi="微软雅黑" w:eastAsia="微软雅黑" w:cs="微软雅黑"/>
          <w:color w:val="666666"/>
          <w:sz w:val="12"/>
          <w:szCs w:val="12"/>
          <w:lang w:val="en-US" w:eastAsia="zh-CN"/>
        </w:rPr>
        <w:t>财富管理服务信托业务合作</w:t>
      </w:r>
      <w:r>
        <w:rPr>
          <w:rFonts w:hint="eastAsia" w:ascii="微软雅黑" w:hAnsi="微软雅黑" w:eastAsia="微软雅黑" w:cs="微软雅黑"/>
          <w:color w:val="666666"/>
          <w:sz w:val="12"/>
          <w:szCs w:val="12"/>
        </w:rPr>
        <w:t>协议》，本行将代理销售</w:t>
      </w:r>
      <w:r>
        <w:rPr>
          <w:rFonts w:hint="eastAsia" w:ascii="微软雅黑" w:hAnsi="微软雅黑" w:eastAsia="微软雅黑" w:cs="微软雅黑"/>
          <w:color w:val="666666"/>
          <w:sz w:val="12"/>
          <w:szCs w:val="12"/>
          <w:lang w:val="en-US" w:eastAsia="zh-CN"/>
        </w:rPr>
        <w:t>华能信托发行的财富管理服务信托</w:t>
      </w:r>
      <w:r>
        <w:rPr>
          <w:rFonts w:hint="eastAsia" w:ascii="微软雅黑" w:hAnsi="微软雅黑" w:eastAsia="微软雅黑" w:cs="微软雅黑"/>
          <w:color w:val="666666"/>
          <w:sz w:val="12"/>
          <w:szCs w:val="12"/>
        </w:rPr>
        <w:t>产品。</w:t>
      </w:r>
      <w:r>
        <w:rPr>
          <w:rFonts w:hint="eastAsia" w:ascii="微软雅黑" w:hAnsi="微软雅黑" w:eastAsia="微软雅黑" w:cs="微软雅黑"/>
          <w:color w:val="666666"/>
          <w:sz w:val="12"/>
          <w:szCs w:val="12"/>
          <w:lang w:val="en-US" w:eastAsia="zh-CN"/>
        </w:rPr>
        <w:t>华能信托</w:t>
      </w:r>
      <w:r>
        <w:rPr>
          <w:rFonts w:hint="eastAsia" w:ascii="微软雅黑" w:hAnsi="微软雅黑" w:eastAsia="微软雅黑" w:cs="微软雅黑"/>
          <w:color w:val="666666"/>
          <w:sz w:val="12"/>
          <w:szCs w:val="12"/>
        </w:rPr>
        <w:t>是由中国银行保险监督管理委员会批准设立的</w:t>
      </w:r>
      <w:r>
        <w:rPr>
          <w:rFonts w:hint="eastAsia" w:ascii="微软雅黑" w:hAnsi="微软雅黑" w:eastAsia="微软雅黑" w:cs="微软雅黑"/>
          <w:color w:val="666666"/>
          <w:sz w:val="12"/>
          <w:szCs w:val="12"/>
          <w:lang w:val="en-US" w:eastAsia="zh-CN"/>
        </w:rPr>
        <w:t>全国性信托金融机构</w:t>
      </w:r>
      <w:r>
        <w:rPr>
          <w:rFonts w:hint="eastAsia" w:ascii="微软雅黑" w:hAnsi="微软雅黑" w:eastAsia="微软雅黑" w:cs="微软雅黑"/>
          <w:color w:val="666666"/>
          <w:sz w:val="12"/>
          <w:szCs w:val="12"/>
        </w:rPr>
        <w:t>，</w:t>
      </w:r>
      <w:r>
        <w:rPr>
          <w:rFonts w:hint="eastAsia" w:ascii="微软雅黑" w:hAnsi="微软雅黑" w:eastAsia="微软雅黑" w:cs="微软雅黑"/>
          <w:color w:val="666666"/>
          <w:sz w:val="12"/>
          <w:szCs w:val="12"/>
          <w:lang w:val="en-US" w:eastAsia="zh-CN"/>
        </w:rPr>
        <w:t>业务</w:t>
      </w:r>
      <w:r>
        <w:rPr>
          <w:rFonts w:hint="eastAsia" w:ascii="微软雅黑" w:hAnsi="微软雅黑" w:eastAsia="微软雅黑" w:cs="微软雅黑"/>
          <w:color w:val="666666"/>
          <w:sz w:val="12"/>
          <w:szCs w:val="12"/>
        </w:rPr>
        <w:t>范围</w:t>
      </w:r>
      <w:r>
        <w:rPr>
          <w:rFonts w:hint="eastAsia" w:ascii="微软雅黑" w:hAnsi="微软雅黑" w:eastAsia="微软雅黑" w:cs="微软雅黑"/>
          <w:color w:val="666666"/>
          <w:sz w:val="12"/>
          <w:szCs w:val="12"/>
          <w:lang w:val="en-US" w:eastAsia="zh-CN"/>
        </w:rPr>
        <w:t>涵盖资金信托、动产信托、不动产信托、有价证券信托、其他财产或财产权信托等</w:t>
      </w:r>
      <w:r>
        <w:rPr>
          <w:rFonts w:hint="eastAsia" w:ascii="微软雅黑" w:hAnsi="微软雅黑" w:eastAsia="微软雅黑" w:cs="微软雅黑"/>
          <w:color w:val="666666"/>
          <w:sz w:val="12"/>
          <w:szCs w:val="12"/>
        </w:rPr>
        <w:t>。</w:t>
      </w:r>
      <w:r>
        <w:rPr>
          <w:rFonts w:hint="eastAsia" w:ascii="微软雅黑" w:hAnsi="微软雅黑" w:eastAsia="微软雅黑" w:cs="微软雅黑"/>
          <w:color w:val="666666"/>
          <w:sz w:val="12"/>
          <w:szCs w:val="12"/>
          <w:lang w:val="en-US" w:eastAsia="zh-CN"/>
        </w:rPr>
        <w:t>华能信托</w:t>
      </w:r>
      <w:r>
        <w:rPr>
          <w:rFonts w:hint="eastAsia" w:ascii="微软雅黑" w:hAnsi="微软雅黑" w:eastAsia="微软雅黑" w:cs="微软雅黑"/>
          <w:color w:val="666666"/>
          <w:sz w:val="12"/>
          <w:szCs w:val="12"/>
        </w:rPr>
        <w:t>相关信息如下：</w:t>
      </w:r>
    </w:p>
    <w:tbl>
      <w:tblPr>
        <w:tblStyle w:val="5"/>
        <w:tblW w:w="8438" w:type="dxa"/>
        <w:tblCellSpacing w:w="1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73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="60" w:afterAutospacing="0" w:line="240" w:lineRule="atLeast"/>
              <w:jc w:val="both"/>
              <w:rPr>
                <w:rFonts w:hint="eastAsia" w:ascii="微软雅黑" w:hAnsi="微软雅黑" w:eastAsia="微软雅黑" w:cs="微软雅黑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2"/>
                <w:szCs w:val="12"/>
              </w:rPr>
              <w:t>注册资本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="60" w:afterAutospacing="0" w:line="240" w:lineRule="atLeast"/>
              <w:jc w:val="both"/>
              <w:rPr>
                <w:rFonts w:hint="default" w:ascii="微软雅黑" w:hAnsi="微软雅黑" w:eastAsia="微软雅黑" w:cs="微软雅黑"/>
                <w:sz w:val="12"/>
                <w:szCs w:val="1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2"/>
                <w:szCs w:val="12"/>
                <w:lang w:val="en-US" w:eastAsia="zh-CN"/>
              </w:rPr>
              <w:t>61.95亿元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="60" w:afterAutospacing="0" w:line="240" w:lineRule="atLeast"/>
              <w:jc w:val="both"/>
              <w:rPr>
                <w:rFonts w:hint="eastAsia" w:ascii="微软雅黑" w:hAnsi="微软雅黑" w:eastAsia="微软雅黑" w:cs="微软雅黑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2"/>
                <w:szCs w:val="12"/>
                <w:lang w:val="en-US" w:eastAsia="zh-CN"/>
              </w:rPr>
              <w:t>机构</w:t>
            </w:r>
            <w:r>
              <w:rPr>
                <w:rFonts w:hint="eastAsia" w:ascii="微软雅黑" w:hAnsi="微软雅黑" w:eastAsia="微软雅黑" w:cs="微软雅黑"/>
                <w:color w:val="666666"/>
                <w:sz w:val="12"/>
                <w:szCs w:val="12"/>
              </w:rPr>
              <w:t>住所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="60" w:afterAutospacing="0" w:line="240" w:lineRule="atLeast"/>
              <w:jc w:val="both"/>
              <w:rPr>
                <w:rFonts w:hint="default" w:ascii="微软雅黑" w:hAnsi="微软雅黑" w:eastAsia="微软雅黑" w:cs="微软雅黑"/>
                <w:sz w:val="12"/>
                <w:szCs w:val="1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2"/>
                <w:szCs w:val="12"/>
                <w:lang w:val="en-US" w:eastAsia="zh-CN"/>
              </w:rPr>
              <w:t>贵州省贵阳市观山湖区长岭北路55号贵州金融城1期商务区10号楼23、24层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="60" w:afterAutospacing="0" w:line="240" w:lineRule="atLeast"/>
              <w:jc w:val="both"/>
              <w:rPr>
                <w:rFonts w:hint="eastAsia" w:ascii="微软雅黑" w:hAnsi="微软雅黑" w:eastAsia="微软雅黑" w:cs="微软雅黑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2"/>
                <w:szCs w:val="12"/>
              </w:rPr>
              <w:t>法定代表人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="60" w:afterAutospacing="0" w:line="240" w:lineRule="atLeast"/>
              <w:jc w:val="both"/>
              <w:rPr>
                <w:rFonts w:hint="default" w:ascii="微软雅黑" w:hAnsi="微软雅黑" w:eastAsia="微软雅黑" w:cs="微软雅黑"/>
                <w:sz w:val="12"/>
                <w:szCs w:val="1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2"/>
                <w:szCs w:val="12"/>
                <w:lang w:val="en-US" w:eastAsia="zh-CN"/>
              </w:rPr>
              <w:t>孙磊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="60" w:afterAutospacing="0" w:line="240" w:lineRule="atLeast"/>
              <w:jc w:val="both"/>
              <w:rPr>
                <w:rFonts w:hint="eastAsia" w:ascii="微软雅黑" w:hAnsi="微软雅黑" w:eastAsia="微软雅黑" w:cs="微软雅黑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2"/>
                <w:szCs w:val="12"/>
              </w:rPr>
              <w:t>客服热线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="60" w:afterAutospacing="0" w:line="240" w:lineRule="atLeast"/>
              <w:jc w:val="both"/>
              <w:rPr>
                <w:rFonts w:hint="default" w:ascii="微软雅黑" w:hAnsi="微软雅黑" w:eastAsia="微软雅黑" w:cs="微软雅黑"/>
                <w:sz w:val="12"/>
                <w:szCs w:val="1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2"/>
                <w:szCs w:val="12"/>
                <w:lang w:val="en-US" w:eastAsia="zh-CN"/>
              </w:rPr>
              <w:t>4006506559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="60" w:afterAutospacing="0" w:line="240" w:lineRule="atLeast"/>
              <w:jc w:val="both"/>
              <w:rPr>
                <w:rFonts w:hint="eastAsia" w:ascii="微软雅黑" w:hAnsi="微软雅黑" w:eastAsia="微软雅黑" w:cs="微软雅黑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2"/>
                <w:szCs w:val="12"/>
              </w:rPr>
              <w:t>网址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="60" w:afterAutospacing="0" w:line="240" w:lineRule="atLeast"/>
              <w:jc w:val="both"/>
              <w:rPr>
                <w:rFonts w:hint="eastAsia" w:ascii="微软雅黑" w:hAnsi="微软雅黑" w:eastAsia="微软雅黑" w:cs="微软雅黑"/>
                <w:sz w:val="12"/>
                <w:szCs w:val="12"/>
              </w:rPr>
            </w:pPr>
            <w:r>
              <w:rPr>
                <w:rFonts w:ascii="微软雅黑" w:hAnsi="微软雅黑" w:eastAsia="微软雅黑" w:cs="微软雅黑"/>
                <w:color w:val="0000FF"/>
                <w:sz w:val="12"/>
                <w:szCs w:val="12"/>
                <w:u w:val="single"/>
              </w:rPr>
              <w:t>http://www.</w:t>
            </w:r>
            <w:r>
              <w:rPr>
                <w:rFonts w:hint="eastAsia" w:ascii="微软雅黑" w:hAnsi="微软雅黑" w:eastAsia="微软雅黑" w:cs="微软雅黑"/>
                <w:color w:val="0000FF"/>
                <w:sz w:val="12"/>
                <w:szCs w:val="12"/>
                <w:u w:val="single"/>
                <w:lang w:val="en-US" w:eastAsia="zh-CN"/>
              </w:rPr>
              <w:t>hngtrust</w:t>
            </w:r>
            <w:r>
              <w:rPr>
                <w:rFonts w:ascii="微软雅黑" w:hAnsi="微软雅黑" w:eastAsia="微软雅黑" w:cs="微软雅黑"/>
                <w:color w:val="0000FF"/>
                <w:sz w:val="12"/>
                <w:szCs w:val="12"/>
                <w:u w:val="single"/>
              </w:rPr>
              <w:t>.com</w:t>
            </w:r>
          </w:p>
        </w:tc>
      </w:tr>
    </w:tbl>
    <w:p>
      <w:pPr>
        <w:pStyle w:val="4"/>
        <w:widowControl/>
        <w:spacing w:beforeAutospacing="0" w:after="60" w:afterAutospacing="0" w:line="240" w:lineRule="atLeast"/>
        <w:ind w:firstLine="240" w:firstLineChars="200"/>
        <w:jc w:val="both"/>
        <w:rPr>
          <w:rFonts w:hint="eastAsia" w:ascii="微软雅黑" w:hAnsi="微软雅黑" w:eastAsia="微软雅黑" w:cs="微软雅黑"/>
          <w:sz w:val="12"/>
          <w:szCs w:val="12"/>
        </w:rPr>
      </w:pPr>
      <w:r>
        <w:rPr>
          <w:rFonts w:hint="eastAsia" w:ascii="微软雅黑" w:hAnsi="微软雅黑" w:eastAsia="微软雅黑" w:cs="微软雅黑"/>
          <w:color w:val="666666"/>
          <w:sz w:val="12"/>
          <w:szCs w:val="12"/>
        </w:rPr>
        <w:t>后续代销的具体</w:t>
      </w:r>
      <w:r>
        <w:rPr>
          <w:rFonts w:hint="eastAsia" w:ascii="微软雅黑" w:hAnsi="微软雅黑" w:eastAsia="微软雅黑" w:cs="微软雅黑"/>
          <w:color w:val="666666"/>
          <w:sz w:val="12"/>
          <w:szCs w:val="12"/>
          <w:lang w:val="en-US" w:eastAsia="zh-CN"/>
        </w:rPr>
        <w:t>信托</w:t>
      </w:r>
      <w:r>
        <w:rPr>
          <w:rFonts w:hint="eastAsia" w:ascii="微软雅黑" w:hAnsi="微软雅黑" w:eastAsia="微软雅黑" w:cs="微软雅黑"/>
          <w:color w:val="666666"/>
          <w:sz w:val="12"/>
          <w:szCs w:val="12"/>
        </w:rPr>
        <w:t>产品将通过本行官方渠道进行展示，敬请关注。</w:t>
      </w:r>
    </w:p>
    <w:p>
      <w:pPr>
        <w:pStyle w:val="4"/>
        <w:widowControl/>
        <w:spacing w:beforeAutospacing="0" w:after="60" w:afterAutospacing="0" w:line="240" w:lineRule="atLeast"/>
        <w:ind w:firstLine="240" w:firstLineChars="200"/>
        <w:jc w:val="both"/>
        <w:rPr>
          <w:rFonts w:hint="eastAsia" w:ascii="微软雅黑" w:hAnsi="微软雅黑" w:eastAsia="微软雅黑" w:cs="微软雅黑"/>
          <w:sz w:val="12"/>
          <w:szCs w:val="12"/>
        </w:rPr>
      </w:pPr>
      <w:r>
        <w:rPr>
          <w:rFonts w:hint="eastAsia" w:ascii="微软雅黑" w:hAnsi="微软雅黑" w:eastAsia="微软雅黑" w:cs="微软雅黑"/>
          <w:color w:val="666666"/>
          <w:sz w:val="12"/>
          <w:szCs w:val="12"/>
        </w:rPr>
        <w:t>特此公告。</w:t>
      </w:r>
    </w:p>
    <w:p>
      <w:pPr>
        <w:pStyle w:val="4"/>
        <w:widowControl/>
        <w:spacing w:beforeAutospacing="0" w:after="60" w:afterAutospacing="0" w:line="240" w:lineRule="atLeast"/>
        <w:ind w:firstLine="240" w:firstLineChars="200"/>
        <w:jc w:val="both"/>
        <w:rPr>
          <w:rFonts w:hint="eastAsia" w:ascii="微软雅黑" w:hAnsi="微软雅黑" w:eastAsia="微软雅黑" w:cs="微软雅黑"/>
          <w:sz w:val="12"/>
          <w:szCs w:val="12"/>
        </w:rPr>
      </w:pPr>
      <w:r>
        <w:rPr>
          <w:rFonts w:hint="eastAsia" w:ascii="微软雅黑" w:hAnsi="微软雅黑" w:eastAsia="微软雅黑" w:cs="微软雅黑"/>
          <w:color w:val="666666"/>
          <w:sz w:val="12"/>
          <w:szCs w:val="12"/>
        </w:rPr>
        <w:t>感谢您一直以来对本行的支持！</w:t>
      </w:r>
    </w:p>
    <w:p>
      <w:pPr>
        <w:pStyle w:val="4"/>
        <w:widowControl/>
        <w:spacing w:beforeAutospacing="0" w:after="60" w:afterAutospacing="0" w:line="240" w:lineRule="atLeast"/>
        <w:jc w:val="right"/>
        <w:rPr>
          <w:rFonts w:hint="eastAsia" w:ascii="微软雅黑" w:hAnsi="微软雅黑" w:eastAsia="微软雅黑" w:cs="微软雅黑"/>
          <w:sz w:val="12"/>
          <w:szCs w:val="12"/>
        </w:rPr>
      </w:pPr>
      <w:r>
        <w:rPr>
          <w:rFonts w:hint="eastAsia" w:ascii="微软雅黑" w:hAnsi="微软雅黑" w:eastAsia="微软雅黑" w:cs="微软雅黑"/>
          <w:color w:val="666666"/>
          <w:sz w:val="12"/>
          <w:szCs w:val="12"/>
        </w:rPr>
        <w:t>宁波通商银行股份有限公司</w:t>
      </w:r>
    </w:p>
    <w:p>
      <w:pPr>
        <w:pStyle w:val="4"/>
        <w:widowControl/>
        <w:spacing w:beforeAutospacing="0" w:after="60" w:afterAutospacing="0" w:line="240" w:lineRule="atLeast"/>
        <w:jc w:val="right"/>
        <w:rPr>
          <w:rFonts w:hint="eastAsia" w:ascii="微软雅黑" w:hAnsi="微软雅黑" w:eastAsia="微软雅黑" w:cs="微软雅黑"/>
          <w:sz w:val="12"/>
          <w:szCs w:val="12"/>
        </w:rPr>
      </w:pPr>
      <w:r>
        <w:rPr>
          <w:rFonts w:hint="eastAsia" w:ascii="微软雅黑" w:hAnsi="微软雅黑" w:eastAsia="微软雅黑" w:cs="微软雅黑"/>
          <w:color w:val="666666"/>
          <w:sz w:val="12"/>
          <w:szCs w:val="12"/>
        </w:rPr>
        <w:t>2025年</w:t>
      </w:r>
      <w:r>
        <w:rPr>
          <w:rFonts w:hint="eastAsia" w:ascii="微软雅黑" w:hAnsi="微软雅黑" w:eastAsia="微软雅黑" w:cs="微软雅黑"/>
          <w:color w:val="666666"/>
          <w:sz w:val="12"/>
          <w:szCs w:val="12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666666"/>
          <w:sz w:val="12"/>
          <w:szCs w:val="12"/>
        </w:rPr>
        <w:t>月</w:t>
      </w:r>
      <w:r>
        <w:rPr>
          <w:rFonts w:hint="eastAsia" w:ascii="微软雅黑" w:hAnsi="微软雅黑" w:eastAsia="微软雅黑" w:cs="微软雅黑"/>
          <w:color w:val="666666"/>
          <w:sz w:val="12"/>
          <w:szCs w:val="12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color w:val="666666"/>
          <w:sz w:val="12"/>
          <w:szCs w:val="1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9D"/>
    <w:rsid w:val="0070539D"/>
    <w:rsid w:val="00746D57"/>
    <w:rsid w:val="008E7697"/>
    <w:rsid w:val="050636F3"/>
    <w:rsid w:val="0E11030F"/>
    <w:rsid w:val="1E4B1A72"/>
    <w:rsid w:val="20187FEF"/>
    <w:rsid w:val="2218190B"/>
    <w:rsid w:val="24F14D2E"/>
    <w:rsid w:val="4820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after="260"/>
      <w:outlineLvl w:val="2"/>
    </w:pPr>
    <w:rPr>
      <w:b/>
      <w:sz w:val="28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394</Characters>
  <Lines>2</Lines>
  <Paragraphs>1</Paragraphs>
  <TotalTime>25</TotalTime>
  <ScaleCrop>false</ScaleCrop>
  <LinksUpToDate>false</LinksUpToDate>
  <CharactersWithSpaces>395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2022-11-15T01:02:00Z</dcterms:created>
  <dc:creator>86183</dc:creator>
  <cp:lastModifiedBy>Administrator</cp:lastModifiedBy>
  <dcterms:modified xsi:type="dcterms:W3CDTF">2025-04-30T03:17:35Z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5ABC23BA19E7404D916580A3F500BEC6_13</vt:lpwstr>
  </property>
  <property fmtid="{D5CDD505-2E9C-101B-9397-08002B2CF9AE}" pid="4" name="KSOTemplateDocerSaveRecord">
    <vt:lpwstr>eyJoZGlkIjoiNTMyYjI1Zjg0N2ExYjcyNGMwZjFlYzg1ZWRhZjYxZGEiLCJ1c2VySWQiOiIyNTQyMDY3NzEifQ==</vt:lpwstr>
  </property>
  <property fmtid="{D5CDD505-2E9C-101B-9397-08002B2CF9AE}" pid="5" name="_KSOProductBuildMID">
    <vt:lpwstr>CAWMR6BT7RSA0TTGRZR8KLJ87NLMOYVR9J06BJDWXGP8TFWTZ7BJIC0QFSTTPDIRBEMX9OZLZH078LNJQUFT0F8O8RFMWHCB8FODQHB30B30B15331A4E8E5D2F2D7E7A016CB5B</vt:lpwstr>
  </property>
  <property fmtid="{D5CDD505-2E9C-101B-9397-08002B2CF9AE}" pid="6" name="_KSOProductBuildSID">
    <vt:lpwstr>DQWMK6B7796Q06BGRZR8QLJF7NL0OYPREJ06NJDWXFB8TG5T6MBJIC0PFY5TP8RRXOMXSOZGZIWD8IJJRJFAQFFX8RL0WIWBBJOOYHB324EC70D31075D2DC74A7F509E3B3EC42</vt:lpwstr>
  </property>
</Properties>
</file>