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“苏银理财恒源1年定开5期”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“苏银理财恒源1年定开5期”已于2025年5月23日开放确认，管理人使用2025年5月22日的份额单位净值对各份额的申购/赎回申请进行确认。2025年5月22日净值信息如下：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JSA000000186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苏银理财恒源1年定开5期A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1.161106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JSA000000187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苏银理财恒源1年定开5期B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1.163272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J03293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苏银理财恒源1年定开5期D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1.033508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J03294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苏银理财恒源1年定开5期F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1.031951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J03295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苏银理财恒源1年定开5期G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1.032470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J03296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苏银理财恒源1年定开5期J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1.032989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J03297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苏银理财恒源1年定开5期M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1.032989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J03298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苏银理财恒源1年定开5期ZA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1.031951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J03299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苏银理财恒源1年定开5期ZF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1.031951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上一投资周期为2024年5月16日-2025年5月22日，该投资周期业绩表现如下：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（2024年5月16日-2025年5月22日）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JSA000000186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苏银理财恒源1年定开5期A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0.031948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JSA000000187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苏银理财恒源1年定开5期B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0.032258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J03293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苏银理财恒源1年定开5期D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0.033508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J03294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苏银理财恒源1年定开5期F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0.031951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J03295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苏银理财恒源1年定开5期G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0.032470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J03296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苏银理财恒源1年定开5期J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0.032989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J03297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苏银理财恒源1年定开5期M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0.032989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J03298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苏银理财恒源1年定开5期ZA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0.031951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J03299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苏银理财恒源1年定开5期ZF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0.031951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3.14%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2025年5月23日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1721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2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2025-05-26T00:47:07Z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